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B824B" w14:textId="04B7055D" w:rsidR="005F1038" w:rsidRPr="00DC1D57" w:rsidRDefault="00DC1D57" w:rsidP="005F1038">
      <w:pPr>
        <w:pStyle w:val="Title"/>
        <w:rPr>
          <w:lang w:val="fr-FR"/>
        </w:rPr>
      </w:pPr>
      <w:bookmarkStart w:id="0" w:name="_GoBack"/>
      <w:bookmarkEnd w:id="0"/>
      <w:r w:rsidRPr="00DC1D57">
        <w:rPr>
          <w:lang w:val="fr-FR"/>
        </w:rPr>
        <w:t>Évaluation de votre organ</w:t>
      </w:r>
      <w:r>
        <w:rPr>
          <w:lang w:val="fr-FR"/>
        </w:rPr>
        <w:t xml:space="preserve">isme </w:t>
      </w:r>
    </w:p>
    <w:p w14:paraId="1AFC9191" w14:textId="0DDB8B70" w:rsidR="00900D61" w:rsidRPr="00DC1D57" w:rsidRDefault="00DC1D57" w:rsidP="00DC1D57">
      <w:pPr>
        <w:pStyle w:val="Subtitle"/>
        <w:rPr>
          <w:lang w:val="fr-FR"/>
        </w:rPr>
      </w:pPr>
      <w:r w:rsidRPr="00DC1D57">
        <w:rPr>
          <w:i/>
          <w:caps w:val="0"/>
          <w:color w:val="auto"/>
          <w:spacing w:val="0"/>
          <w:sz w:val="20"/>
          <w:szCs w:val="20"/>
          <w:lang w:val="fr-FR"/>
        </w:rPr>
        <w:t xml:space="preserve">Un outil permettant aux </w:t>
      </w:r>
      <w:r>
        <w:rPr>
          <w:i/>
          <w:caps w:val="0"/>
          <w:color w:val="auto"/>
          <w:spacing w:val="0"/>
          <w:sz w:val="20"/>
          <w:szCs w:val="20"/>
          <w:lang w:val="fr-FR"/>
        </w:rPr>
        <w:t>organismes de conservation</w:t>
      </w:r>
      <w:r w:rsidRPr="00DC1D57">
        <w:rPr>
          <w:i/>
          <w:caps w:val="0"/>
          <w:color w:val="auto"/>
          <w:spacing w:val="0"/>
          <w:sz w:val="20"/>
          <w:szCs w:val="20"/>
          <w:lang w:val="fr-FR"/>
        </w:rPr>
        <w:t xml:space="preserve"> d'effectuer une évaluation détaillée </w:t>
      </w:r>
      <w:r>
        <w:rPr>
          <w:i/>
          <w:caps w:val="0"/>
          <w:color w:val="auto"/>
          <w:spacing w:val="0"/>
          <w:sz w:val="20"/>
          <w:szCs w:val="20"/>
          <w:lang w:val="fr-FR"/>
        </w:rPr>
        <w:br/>
      </w:r>
      <w:r w:rsidRPr="00DC1D57">
        <w:rPr>
          <w:i/>
          <w:caps w:val="0"/>
          <w:color w:val="auto"/>
          <w:spacing w:val="0"/>
          <w:sz w:val="20"/>
          <w:szCs w:val="20"/>
          <w:lang w:val="fr-FR"/>
        </w:rPr>
        <w:t xml:space="preserve">des progrès organisationnels vers la mise en œuvre des </w:t>
      </w:r>
      <w:r>
        <w:rPr>
          <w:i/>
          <w:caps w:val="0"/>
          <w:color w:val="auto"/>
          <w:spacing w:val="0"/>
          <w:sz w:val="20"/>
          <w:szCs w:val="20"/>
          <w:lang w:val="fr-FR"/>
        </w:rPr>
        <w:t>N</w:t>
      </w:r>
      <w:r w:rsidRPr="00DC1D57">
        <w:rPr>
          <w:i/>
          <w:caps w:val="0"/>
          <w:color w:val="auto"/>
          <w:spacing w:val="0"/>
          <w:sz w:val="20"/>
          <w:szCs w:val="20"/>
          <w:lang w:val="fr-FR"/>
        </w:rPr>
        <w:t xml:space="preserve">ormes et pratiques </w:t>
      </w:r>
      <w:r>
        <w:rPr>
          <w:i/>
          <w:caps w:val="0"/>
          <w:color w:val="auto"/>
          <w:spacing w:val="0"/>
          <w:sz w:val="20"/>
          <w:szCs w:val="20"/>
          <w:lang w:val="fr-FR"/>
        </w:rPr>
        <w:t>Canadienne</w:t>
      </w:r>
    </w:p>
    <w:p w14:paraId="6669239E" w14:textId="6C4B1115" w:rsidR="00900D61" w:rsidRPr="00DC1D57" w:rsidRDefault="00900D61" w:rsidP="00900D61">
      <w:pPr>
        <w:pStyle w:val="Subtitle"/>
        <w:rPr>
          <w:lang w:val="fr-FR"/>
        </w:rPr>
      </w:pPr>
      <w:r w:rsidRPr="00DC1D57">
        <w:rPr>
          <w:lang w:val="fr-FR"/>
        </w:rPr>
        <w:t>Introduction</w:t>
      </w:r>
    </w:p>
    <w:p w14:paraId="6A884A39" w14:textId="77777777" w:rsidR="00900D61" w:rsidRPr="00DC1D57" w:rsidRDefault="00900D61" w:rsidP="00900D61">
      <w:pPr>
        <w:ind w:right="5580"/>
        <w:rPr>
          <w:i/>
          <w:lang w:val="fr-FR"/>
        </w:rPr>
      </w:pPr>
    </w:p>
    <w:p w14:paraId="09946725" w14:textId="77777777" w:rsidR="00900D61" w:rsidRPr="00DC1D57" w:rsidRDefault="00900D61" w:rsidP="00900D61">
      <w:pPr>
        <w:pStyle w:val="Subtitle"/>
        <w:jc w:val="right"/>
        <w:rPr>
          <w:lang w:val="fr-FR"/>
        </w:rPr>
      </w:pPr>
    </w:p>
    <w:p w14:paraId="1D45A247" w14:textId="77777777" w:rsidR="00900D61" w:rsidRPr="00DC1D57" w:rsidRDefault="00900D61" w:rsidP="00900D61">
      <w:pPr>
        <w:pStyle w:val="Subtitle"/>
        <w:jc w:val="right"/>
        <w:rPr>
          <w:lang w:val="fr-FR"/>
        </w:rPr>
      </w:pPr>
    </w:p>
    <w:p w14:paraId="136F3B3D" w14:textId="77777777" w:rsidR="00900D61" w:rsidRPr="00DC1D57" w:rsidRDefault="00900D61" w:rsidP="00900D61">
      <w:pPr>
        <w:pStyle w:val="Subtitle"/>
        <w:jc w:val="right"/>
        <w:rPr>
          <w:lang w:val="fr-FR"/>
        </w:rPr>
      </w:pPr>
    </w:p>
    <w:p w14:paraId="2D40448A" w14:textId="77777777" w:rsidR="00900D61" w:rsidRPr="00DC1D57" w:rsidRDefault="00900D61" w:rsidP="00900D61">
      <w:pPr>
        <w:pStyle w:val="Subtitle"/>
        <w:rPr>
          <w:lang w:val="fr-FR"/>
        </w:rPr>
      </w:pPr>
    </w:p>
    <w:p w14:paraId="15923083" w14:textId="77777777" w:rsidR="00900D61" w:rsidRPr="00DC1D57" w:rsidRDefault="00900D61" w:rsidP="00900D61">
      <w:pPr>
        <w:pStyle w:val="Subtitle"/>
        <w:rPr>
          <w:lang w:val="fr-FR"/>
        </w:rPr>
      </w:pPr>
    </w:p>
    <w:p w14:paraId="245BC4EB" w14:textId="77777777" w:rsidR="00900D61" w:rsidRPr="00DC1D57" w:rsidRDefault="00900D61" w:rsidP="00900D61">
      <w:pPr>
        <w:pStyle w:val="Subtitle"/>
        <w:rPr>
          <w:lang w:val="fr-FR"/>
        </w:rPr>
      </w:pPr>
    </w:p>
    <w:p w14:paraId="6F9E2F1B" w14:textId="77777777" w:rsidR="00900D61" w:rsidRPr="00DC1D57" w:rsidRDefault="00900D61" w:rsidP="00900D61">
      <w:pPr>
        <w:pStyle w:val="Subtitle"/>
        <w:rPr>
          <w:lang w:val="fr-FR"/>
        </w:rPr>
      </w:pPr>
    </w:p>
    <w:p w14:paraId="22820071" w14:textId="77777777" w:rsidR="00900D61" w:rsidRPr="00DC1D57" w:rsidRDefault="00900D61" w:rsidP="00900D61">
      <w:pPr>
        <w:pStyle w:val="Subtitle"/>
        <w:rPr>
          <w:lang w:val="fr-FR"/>
        </w:rPr>
      </w:pPr>
    </w:p>
    <w:p w14:paraId="7057BC99" w14:textId="77777777" w:rsidR="00900D61" w:rsidRPr="00DC1D57" w:rsidRDefault="00900D61" w:rsidP="00900D61">
      <w:pPr>
        <w:pStyle w:val="Heading1"/>
        <w:rPr>
          <w:lang w:val="fr-FR"/>
        </w:rPr>
        <w:sectPr w:rsidR="00900D61" w:rsidRPr="00DC1D57" w:rsidSect="007F51BA">
          <w:pgSz w:w="15840" w:h="12240" w:orient="landscape"/>
          <w:pgMar w:top="1440" w:right="1440" w:bottom="1440" w:left="1440" w:header="708" w:footer="2298" w:gutter="0"/>
          <w:cols w:space="708"/>
          <w:docGrid w:linePitch="360"/>
        </w:sectPr>
      </w:pPr>
    </w:p>
    <w:p w14:paraId="70EB39B5" w14:textId="297AC9FF" w:rsidR="00900D61" w:rsidRPr="00DC1D57" w:rsidRDefault="00DC1D57" w:rsidP="00900D61">
      <w:pPr>
        <w:pStyle w:val="Heading1"/>
        <w:rPr>
          <w:sz w:val="24"/>
          <w:lang w:val="fr-FR"/>
        </w:rPr>
      </w:pPr>
      <w:bookmarkStart w:id="1" w:name="_Toc100151428"/>
      <w:r w:rsidRPr="00DC1D57">
        <w:rPr>
          <w:lang w:val="fr-FR"/>
        </w:rPr>
        <w:lastRenderedPageBreak/>
        <w:t>REMERCIEMENTS</w:t>
      </w:r>
      <w:bookmarkEnd w:id="1"/>
    </w:p>
    <w:p w14:paraId="0B11C5F9" w14:textId="77777777" w:rsidR="00900D61" w:rsidRPr="00DC1D57" w:rsidRDefault="00900D61" w:rsidP="00900D61">
      <w:pPr>
        <w:ind w:right="6480"/>
        <w:rPr>
          <w:spacing w:val="-2"/>
          <w:lang w:val="fr-FR"/>
        </w:rPr>
      </w:pPr>
    </w:p>
    <w:p w14:paraId="276534B0" w14:textId="77777777" w:rsidR="00BE50EF" w:rsidRPr="00DC1D57" w:rsidRDefault="00BE50EF" w:rsidP="00900D61">
      <w:pPr>
        <w:ind w:right="6480"/>
        <w:rPr>
          <w:spacing w:val="-2"/>
          <w:lang w:val="fr-FR"/>
        </w:rPr>
      </w:pPr>
    </w:p>
    <w:p w14:paraId="7B0ADBED" w14:textId="1371A933" w:rsidR="00BE50EF" w:rsidRPr="00DC1D57" w:rsidRDefault="00DC1D57" w:rsidP="00900D61">
      <w:pPr>
        <w:ind w:right="6480"/>
        <w:rPr>
          <w:spacing w:val="-5"/>
          <w:lang w:val="fr-FR"/>
        </w:rPr>
      </w:pPr>
      <w:r w:rsidRPr="00DC1D57">
        <w:rPr>
          <w:spacing w:val="-2"/>
          <w:lang w:val="fr-FR"/>
        </w:rPr>
        <w:t xml:space="preserve">Ce document a été révisé et modifié sur la base du document de la U.S. Land Trust Alliance </w:t>
      </w:r>
      <w:r w:rsidRPr="00DC1D57">
        <w:rPr>
          <w:i/>
          <w:spacing w:val="-2"/>
          <w:lang w:val="fr-FR"/>
        </w:rPr>
        <w:t>Assessing Your Organization</w:t>
      </w:r>
      <w:r w:rsidRPr="00DC1D57">
        <w:rPr>
          <w:spacing w:val="-2"/>
          <w:lang w:val="fr-FR"/>
        </w:rPr>
        <w:t xml:space="preserve"> (révisé en 2017) et du document de la Canadian Land Trust Alliance </w:t>
      </w:r>
      <w:r w:rsidRPr="00DC1D57">
        <w:rPr>
          <w:i/>
          <w:spacing w:val="-2"/>
          <w:lang w:val="fr-FR"/>
        </w:rPr>
        <w:t>Assessing Your Organization</w:t>
      </w:r>
      <w:r w:rsidRPr="00DC1D57">
        <w:rPr>
          <w:spacing w:val="-2"/>
          <w:lang w:val="fr-FR"/>
        </w:rPr>
        <w:t xml:space="preserve"> (2007).</w:t>
      </w:r>
    </w:p>
    <w:p w14:paraId="1F8499E7" w14:textId="61523E3E" w:rsidR="00900D61" w:rsidRPr="00DC1D57" w:rsidRDefault="00DC1D57" w:rsidP="00900D61">
      <w:pPr>
        <w:ind w:right="6480"/>
        <w:rPr>
          <w:spacing w:val="-2"/>
          <w:lang w:val="fr-FR"/>
        </w:rPr>
      </w:pPr>
      <w:r w:rsidRPr="00DC1D57">
        <w:rPr>
          <w:lang w:val="fr-FR"/>
        </w:rPr>
        <w:t xml:space="preserve">Ce document a été modifié par l'Ontario Land Trust Alliance à partir de </w:t>
      </w:r>
      <w:r w:rsidRPr="00DC1D57">
        <w:rPr>
          <w:i/>
          <w:lang w:val="fr-FR"/>
        </w:rPr>
        <w:t>Assessing Your Organization</w:t>
      </w:r>
      <w:r w:rsidRPr="00DC1D57">
        <w:rPr>
          <w:lang w:val="fr-FR"/>
        </w:rPr>
        <w:t xml:space="preserve"> © 2017 par la Land Trust Alliance et </w:t>
      </w:r>
      <w:r w:rsidRPr="00DC1D57">
        <w:rPr>
          <w:i/>
          <w:lang w:val="fr-FR"/>
        </w:rPr>
        <w:t>Assessing Your Organization</w:t>
      </w:r>
      <w:r w:rsidRPr="00DC1D57">
        <w:rPr>
          <w:lang w:val="fr-FR"/>
        </w:rPr>
        <w:t xml:space="preserve"> (2007) par la Canadian Land Trust Alliance.</w:t>
      </w:r>
    </w:p>
    <w:p w14:paraId="71C58FEA" w14:textId="754EA319" w:rsidR="00BE50EF" w:rsidRPr="00DC1D57" w:rsidRDefault="00BE50EF" w:rsidP="00900D61">
      <w:pPr>
        <w:ind w:right="6480"/>
        <w:rPr>
          <w:spacing w:val="-2"/>
          <w:lang w:val="fr-FR"/>
        </w:rPr>
      </w:pPr>
    </w:p>
    <w:p w14:paraId="38E16F5B" w14:textId="15353565" w:rsidR="00BE50EF" w:rsidRDefault="00BE50EF" w:rsidP="00900D61">
      <w:pPr>
        <w:ind w:right="6480"/>
        <w:rPr>
          <w:spacing w:val="-2"/>
          <w:lang w:val="fr-FR"/>
        </w:rPr>
      </w:pPr>
    </w:p>
    <w:p w14:paraId="3AAED8C7" w14:textId="77777777" w:rsidR="009F6515" w:rsidRDefault="009F6515" w:rsidP="00900D61">
      <w:pPr>
        <w:ind w:right="6480"/>
        <w:rPr>
          <w:spacing w:val="-2"/>
          <w:lang w:val="fr-FR"/>
        </w:rPr>
      </w:pPr>
    </w:p>
    <w:p w14:paraId="60BF112C" w14:textId="77777777" w:rsidR="009F6515" w:rsidRDefault="009F6515" w:rsidP="00900D61">
      <w:pPr>
        <w:ind w:right="6480"/>
        <w:rPr>
          <w:spacing w:val="-2"/>
          <w:lang w:val="fr-FR"/>
        </w:rPr>
      </w:pPr>
    </w:p>
    <w:p w14:paraId="1D02BEBF" w14:textId="77777777" w:rsidR="009F6515" w:rsidRDefault="009F6515" w:rsidP="00900D61">
      <w:pPr>
        <w:ind w:right="6480"/>
        <w:rPr>
          <w:spacing w:val="-2"/>
          <w:lang w:val="fr-FR"/>
        </w:rPr>
      </w:pPr>
    </w:p>
    <w:p w14:paraId="354E1B84" w14:textId="77777777" w:rsidR="00DC1D57" w:rsidRDefault="00DC1D57" w:rsidP="00900D61">
      <w:pPr>
        <w:ind w:right="6480"/>
        <w:rPr>
          <w:spacing w:val="-2"/>
          <w:lang w:val="fr-FR"/>
        </w:rPr>
      </w:pPr>
    </w:p>
    <w:p w14:paraId="2BBE3CF7" w14:textId="77777777" w:rsidR="009F6515" w:rsidRPr="00DC1D57" w:rsidRDefault="009F6515" w:rsidP="00900D61">
      <w:pPr>
        <w:ind w:right="6480"/>
        <w:rPr>
          <w:spacing w:val="-2"/>
          <w:lang w:val="fr-FR"/>
        </w:rPr>
      </w:pPr>
    </w:p>
    <w:p w14:paraId="3D110830" w14:textId="0D5C5F3C" w:rsidR="00900D61" w:rsidRPr="00DC1D57" w:rsidRDefault="009F6515" w:rsidP="00900D61">
      <w:pPr>
        <w:ind w:right="6480"/>
        <w:rPr>
          <w:spacing w:val="-2"/>
          <w:lang w:val="fr-FR"/>
        </w:rPr>
      </w:pPr>
      <w:r>
        <w:rPr>
          <w:noProof/>
          <w:spacing w:val="-2"/>
          <w:lang w:eastAsia="en-CA"/>
        </w:rPr>
        <w:drawing>
          <wp:inline distT="0" distB="0" distL="0" distR="0" wp14:anchorId="5317F78D" wp14:editId="3876A543">
            <wp:extent cx="7782101" cy="914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T-LTABC-OLTA-RMN_4-logo stri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101" cy="914397"/>
                    </a:xfrm>
                    <a:prstGeom prst="rect">
                      <a:avLst/>
                    </a:prstGeom>
                  </pic:spPr>
                </pic:pic>
              </a:graphicData>
            </a:graphic>
          </wp:inline>
        </w:drawing>
      </w:r>
    </w:p>
    <w:sdt>
      <w:sdtPr>
        <w:rPr>
          <w:caps w:val="0"/>
          <w:color w:val="auto"/>
          <w:spacing w:val="0"/>
          <w:sz w:val="24"/>
          <w:szCs w:val="24"/>
        </w:rPr>
        <w:id w:val="1317611171"/>
        <w:docPartObj>
          <w:docPartGallery w:val="Table of Contents"/>
          <w:docPartUnique/>
        </w:docPartObj>
      </w:sdtPr>
      <w:sdtEndPr>
        <w:rPr>
          <w:b/>
          <w:bCs/>
          <w:noProof/>
        </w:rPr>
      </w:sdtEndPr>
      <w:sdtContent>
        <w:p w14:paraId="461D22A8" w14:textId="1131CFB8" w:rsidR="00900D61" w:rsidRPr="00E03A2C" w:rsidRDefault="00900D61" w:rsidP="00900D61">
          <w:pPr>
            <w:pStyle w:val="TOCHeading"/>
            <w:spacing w:before="0" w:after="240"/>
            <w:rPr>
              <w:caps w:val="0"/>
              <w:color w:val="auto"/>
              <w:spacing w:val="0"/>
              <w:sz w:val="24"/>
              <w:szCs w:val="24"/>
            </w:rPr>
          </w:pPr>
          <w:r w:rsidRPr="00BE4D22">
            <w:rPr>
              <w:sz w:val="24"/>
              <w:szCs w:val="24"/>
            </w:rPr>
            <w:t xml:space="preserve">Table </w:t>
          </w:r>
          <w:r w:rsidR="00DC1D57">
            <w:rPr>
              <w:sz w:val="24"/>
              <w:szCs w:val="24"/>
            </w:rPr>
            <w:t>des matières</w:t>
          </w:r>
        </w:p>
        <w:p w14:paraId="229FCD5F" w14:textId="0C62CA26" w:rsidR="00435A2E" w:rsidRDefault="00900D61">
          <w:pPr>
            <w:pStyle w:val="TOC1"/>
            <w:tabs>
              <w:tab w:val="right" w:leader="dot" w:pos="12950"/>
            </w:tabs>
            <w:rPr>
              <w:noProof/>
              <w:sz w:val="22"/>
              <w:szCs w:val="22"/>
              <w:lang w:eastAsia="en-CA"/>
            </w:rPr>
          </w:pPr>
          <w:r w:rsidRPr="00BE4D22">
            <w:rPr>
              <w:sz w:val="24"/>
              <w:szCs w:val="24"/>
            </w:rPr>
            <w:fldChar w:fldCharType="begin"/>
          </w:r>
          <w:r w:rsidRPr="00BE4D22">
            <w:rPr>
              <w:sz w:val="24"/>
              <w:szCs w:val="24"/>
            </w:rPr>
            <w:instrText xml:space="preserve"> TOC \o "1-3" \h \z \u </w:instrText>
          </w:r>
          <w:r w:rsidRPr="00BE4D22">
            <w:rPr>
              <w:sz w:val="24"/>
              <w:szCs w:val="24"/>
            </w:rPr>
            <w:fldChar w:fldCharType="separate"/>
          </w:r>
          <w:hyperlink w:anchor="_Toc100151428" w:history="1">
            <w:r w:rsidR="00435A2E" w:rsidRPr="005272E7">
              <w:rPr>
                <w:rStyle w:val="Hyperlink"/>
                <w:noProof/>
                <w:lang w:val="fr-FR"/>
              </w:rPr>
              <w:t>REMERCIEMENTS</w:t>
            </w:r>
            <w:r w:rsidR="00435A2E">
              <w:rPr>
                <w:noProof/>
                <w:webHidden/>
              </w:rPr>
              <w:tab/>
            </w:r>
            <w:r w:rsidR="00435A2E">
              <w:rPr>
                <w:noProof/>
                <w:webHidden/>
              </w:rPr>
              <w:fldChar w:fldCharType="begin"/>
            </w:r>
            <w:r w:rsidR="00435A2E">
              <w:rPr>
                <w:noProof/>
                <w:webHidden/>
              </w:rPr>
              <w:instrText xml:space="preserve"> PAGEREF _Toc100151428 \h </w:instrText>
            </w:r>
            <w:r w:rsidR="00435A2E">
              <w:rPr>
                <w:noProof/>
                <w:webHidden/>
              </w:rPr>
            </w:r>
            <w:r w:rsidR="00435A2E">
              <w:rPr>
                <w:noProof/>
                <w:webHidden/>
              </w:rPr>
              <w:fldChar w:fldCharType="separate"/>
            </w:r>
            <w:r w:rsidR="00435A2E">
              <w:rPr>
                <w:noProof/>
                <w:webHidden/>
              </w:rPr>
              <w:t>2</w:t>
            </w:r>
            <w:r w:rsidR="00435A2E">
              <w:rPr>
                <w:noProof/>
                <w:webHidden/>
              </w:rPr>
              <w:fldChar w:fldCharType="end"/>
            </w:r>
          </w:hyperlink>
        </w:p>
        <w:p w14:paraId="67967B31" w14:textId="444E6A26" w:rsidR="00435A2E" w:rsidRDefault="003666FA">
          <w:pPr>
            <w:pStyle w:val="TOC1"/>
            <w:tabs>
              <w:tab w:val="right" w:leader="dot" w:pos="12950"/>
            </w:tabs>
            <w:rPr>
              <w:noProof/>
              <w:sz w:val="22"/>
              <w:szCs w:val="22"/>
              <w:lang w:eastAsia="en-CA"/>
            </w:rPr>
          </w:pPr>
          <w:hyperlink w:anchor="_Toc100151429" w:history="1">
            <w:r w:rsidR="00435A2E" w:rsidRPr="005272E7">
              <w:rPr>
                <w:rStyle w:val="Hyperlink"/>
                <w:noProof/>
                <w:lang w:val="fr-FR"/>
              </w:rPr>
              <w:t>Introduction</w:t>
            </w:r>
            <w:r w:rsidR="00435A2E">
              <w:rPr>
                <w:noProof/>
                <w:webHidden/>
              </w:rPr>
              <w:tab/>
            </w:r>
            <w:r w:rsidR="00435A2E">
              <w:rPr>
                <w:noProof/>
                <w:webHidden/>
              </w:rPr>
              <w:fldChar w:fldCharType="begin"/>
            </w:r>
            <w:r w:rsidR="00435A2E">
              <w:rPr>
                <w:noProof/>
                <w:webHidden/>
              </w:rPr>
              <w:instrText xml:space="preserve"> PAGEREF _Toc100151429 \h </w:instrText>
            </w:r>
            <w:r w:rsidR="00435A2E">
              <w:rPr>
                <w:noProof/>
                <w:webHidden/>
              </w:rPr>
            </w:r>
            <w:r w:rsidR="00435A2E">
              <w:rPr>
                <w:noProof/>
                <w:webHidden/>
              </w:rPr>
              <w:fldChar w:fldCharType="separate"/>
            </w:r>
            <w:r w:rsidR="00435A2E">
              <w:rPr>
                <w:noProof/>
                <w:webHidden/>
              </w:rPr>
              <w:t>4</w:t>
            </w:r>
            <w:r w:rsidR="00435A2E">
              <w:rPr>
                <w:noProof/>
                <w:webHidden/>
              </w:rPr>
              <w:fldChar w:fldCharType="end"/>
            </w:r>
          </w:hyperlink>
        </w:p>
        <w:p w14:paraId="13010429" w14:textId="088D0586" w:rsidR="00435A2E" w:rsidRDefault="003666FA">
          <w:pPr>
            <w:pStyle w:val="TOC1"/>
            <w:tabs>
              <w:tab w:val="right" w:leader="dot" w:pos="12950"/>
            </w:tabs>
            <w:rPr>
              <w:noProof/>
              <w:sz w:val="22"/>
              <w:szCs w:val="22"/>
              <w:lang w:eastAsia="en-CA"/>
            </w:rPr>
          </w:pPr>
          <w:hyperlink w:anchor="_Toc100151430" w:history="1">
            <w:r w:rsidR="00435A2E" w:rsidRPr="005272E7">
              <w:rPr>
                <w:rStyle w:val="Hyperlink"/>
                <w:noProof/>
                <w:lang w:val="fr-FR"/>
              </w:rPr>
              <w:t xml:space="preserve">Pourquoi faire l’évaluation de votre ORGANISME ? </w:t>
            </w:r>
            <w:r w:rsidR="00435A2E">
              <w:rPr>
                <w:noProof/>
                <w:webHidden/>
              </w:rPr>
              <w:tab/>
            </w:r>
            <w:r w:rsidR="00435A2E">
              <w:rPr>
                <w:noProof/>
                <w:webHidden/>
              </w:rPr>
              <w:fldChar w:fldCharType="begin"/>
            </w:r>
            <w:r w:rsidR="00435A2E">
              <w:rPr>
                <w:noProof/>
                <w:webHidden/>
              </w:rPr>
              <w:instrText xml:space="preserve"> PAGEREF _Toc100151430 \h </w:instrText>
            </w:r>
            <w:r w:rsidR="00435A2E">
              <w:rPr>
                <w:noProof/>
                <w:webHidden/>
              </w:rPr>
            </w:r>
            <w:r w:rsidR="00435A2E">
              <w:rPr>
                <w:noProof/>
                <w:webHidden/>
              </w:rPr>
              <w:fldChar w:fldCharType="separate"/>
            </w:r>
            <w:r w:rsidR="00435A2E">
              <w:rPr>
                <w:noProof/>
                <w:webHidden/>
              </w:rPr>
              <w:t>4</w:t>
            </w:r>
            <w:r w:rsidR="00435A2E">
              <w:rPr>
                <w:noProof/>
                <w:webHidden/>
              </w:rPr>
              <w:fldChar w:fldCharType="end"/>
            </w:r>
          </w:hyperlink>
        </w:p>
        <w:p w14:paraId="290947F4" w14:textId="280A2BCD" w:rsidR="00435A2E" w:rsidRDefault="003666FA">
          <w:pPr>
            <w:pStyle w:val="TOC1"/>
            <w:tabs>
              <w:tab w:val="right" w:leader="dot" w:pos="12950"/>
            </w:tabs>
            <w:rPr>
              <w:noProof/>
              <w:sz w:val="22"/>
              <w:szCs w:val="22"/>
              <w:lang w:eastAsia="en-CA"/>
            </w:rPr>
          </w:pPr>
          <w:hyperlink w:anchor="_Toc100151431" w:history="1">
            <w:r w:rsidR="00435A2E" w:rsidRPr="005272E7">
              <w:rPr>
                <w:rStyle w:val="Hyperlink"/>
                <w:noProof/>
                <w:lang w:val="fr-FR"/>
              </w:rPr>
              <w:t>Qui devrait faire L’ÉVALUATION?</w:t>
            </w:r>
            <w:r w:rsidR="00435A2E">
              <w:rPr>
                <w:noProof/>
                <w:webHidden/>
              </w:rPr>
              <w:tab/>
            </w:r>
            <w:r w:rsidR="00435A2E">
              <w:rPr>
                <w:noProof/>
                <w:webHidden/>
              </w:rPr>
              <w:fldChar w:fldCharType="begin"/>
            </w:r>
            <w:r w:rsidR="00435A2E">
              <w:rPr>
                <w:noProof/>
                <w:webHidden/>
              </w:rPr>
              <w:instrText xml:space="preserve"> PAGEREF _Toc100151431 \h </w:instrText>
            </w:r>
            <w:r w:rsidR="00435A2E">
              <w:rPr>
                <w:noProof/>
                <w:webHidden/>
              </w:rPr>
            </w:r>
            <w:r w:rsidR="00435A2E">
              <w:rPr>
                <w:noProof/>
                <w:webHidden/>
              </w:rPr>
              <w:fldChar w:fldCharType="separate"/>
            </w:r>
            <w:r w:rsidR="00435A2E">
              <w:rPr>
                <w:noProof/>
                <w:webHidden/>
              </w:rPr>
              <w:t>4</w:t>
            </w:r>
            <w:r w:rsidR="00435A2E">
              <w:rPr>
                <w:noProof/>
                <w:webHidden/>
              </w:rPr>
              <w:fldChar w:fldCharType="end"/>
            </w:r>
          </w:hyperlink>
        </w:p>
        <w:p w14:paraId="641A11D0" w14:textId="1E58A4A8" w:rsidR="00435A2E" w:rsidRDefault="003666FA">
          <w:pPr>
            <w:pStyle w:val="TOC1"/>
            <w:tabs>
              <w:tab w:val="right" w:leader="dot" w:pos="12950"/>
            </w:tabs>
            <w:rPr>
              <w:noProof/>
              <w:sz w:val="22"/>
              <w:szCs w:val="22"/>
              <w:lang w:eastAsia="en-CA"/>
            </w:rPr>
          </w:pPr>
          <w:hyperlink w:anchor="_Toc100151432" w:history="1">
            <w:r w:rsidR="00435A2E" w:rsidRPr="005272E7">
              <w:rPr>
                <w:rStyle w:val="Hyperlink"/>
                <w:noProof/>
                <w:lang w:val="fr-FR"/>
              </w:rPr>
              <w:t>Comment compléter l’évaluation de votre organisme (AYO)</w:t>
            </w:r>
            <w:r w:rsidR="00435A2E">
              <w:rPr>
                <w:noProof/>
                <w:webHidden/>
              </w:rPr>
              <w:tab/>
            </w:r>
            <w:r w:rsidR="00435A2E">
              <w:rPr>
                <w:noProof/>
                <w:webHidden/>
              </w:rPr>
              <w:fldChar w:fldCharType="begin"/>
            </w:r>
            <w:r w:rsidR="00435A2E">
              <w:rPr>
                <w:noProof/>
                <w:webHidden/>
              </w:rPr>
              <w:instrText xml:space="preserve"> PAGEREF _Toc100151432 \h </w:instrText>
            </w:r>
            <w:r w:rsidR="00435A2E">
              <w:rPr>
                <w:noProof/>
                <w:webHidden/>
              </w:rPr>
            </w:r>
            <w:r w:rsidR="00435A2E">
              <w:rPr>
                <w:noProof/>
                <w:webHidden/>
              </w:rPr>
              <w:fldChar w:fldCharType="separate"/>
            </w:r>
            <w:r w:rsidR="00435A2E">
              <w:rPr>
                <w:noProof/>
                <w:webHidden/>
              </w:rPr>
              <w:t>5</w:t>
            </w:r>
            <w:r w:rsidR="00435A2E">
              <w:rPr>
                <w:noProof/>
                <w:webHidden/>
              </w:rPr>
              <w:fldChar w:fldCharType="end"/>
            </w:r>
          </w:hyperlink>
        </w:p>
        <w:p w14:paraId="572A3EEA" w14:textId="4408D3C1" w:rsidR="00435A2E" w:rsidRDefault="003666FA">
          <w:pPr>
            <w:pStyle w:val="TOC2"/>
            <w:tabs>
              <w:tab w:val="right" w:leader="dot" w:pos="12950"/>
            </w:tabs>
            <w:rPr>
              <w:noProof/>
              <w:sz w:val="22"/>
              <w:szCs w:val="22"/>
              <w:lang w:eastAsia="en-CA"/>
            </w:rPr>
          </w:pPr>
          <w:hyperlink w:anchor="_Toc100151433" w:history="1">
            <w:r w:rsidR="00435A2E" w:rsidRPr="005272E7">
              <w:rPr>
                <w:rStyle w:val="Hyperlink"/>
                <w:noProof/>
                <w:lang w:val="fr-FR"/>
              </w:rPr>
              <w:t>Preparation</w:t>
            </w:r>
            <w:r w:rsidR="00435A2E">
              <w:rPr>
                <w:noProof/>
                <w:webHidden/>
              </w:rPr>
              <w:tab/>
            </w:r>
            <w:r w:rsidR="00435A2E">
              <w:rPr>
                <w:noProof/>
                <w:webHidden/>
              </w:rPr>
              <w:fldChar w:fldCharType="begin"/>
            </w:r>
            <w:r w:rsidR="00435A2E">
              <w:rPr>
                <w:noProof/>
                <w:webHidden/>
              </w:rPr>
              <w:instrText xml:space="preserve"> PAGEREF _Toc100151433 \h </w:instrText>
            </w:r>
            <w:r w:rsidR="00435A2E">
              <w:rPr>
                <w:noProof/>
                <w:webHidden/>
              </w:rPr>
            </w:r>
            <w:r w:rsidR="00435A2E">
              <w:rPr>
                <w:noProof/>
                <w:webHidden/>
              </w:rPr>
              <w:fldChar w:fldCharType="separate"/>
            </w:r>
            <w:r w:rsidR="00435A2E">
              <w:rPr>
                <w:noProof/>
                <w:webHidden/>
              </w:rPr>
              <w:t>5</w:t>
            </w:r>
            <w:r w:rsidR="00435A2E">
              <w:rPr>
                <w:noProof/>
                <w:webHidden/>
              </w:rPr>
              <w:fldChar w:fldCharType="end"/>
            </w:r>
          </w:hyperlink>
        </w:p>
        <w:p w14:paraId="0ABC757F" w14:textId="3083A1C3" w:rsidR="00435A2E" w:rsidRDefault="003666FA">
          <w:pPr>
            <w:pStyle w:val="TOC2"/>
            <w:tabs>
              <w:tab w:val="right" w:leader="dot" w:pos="12950"/>
            </w:tabs>
            <w:rPr>
              <w:noProof/>
              <w:sz w:val="22"/>
              <w:szCs w:val="22"/>
              <w:lang w:eastAsia="en-CA"/>
            </w:rPr>
          </w:pPr>
          <w:hyperlink w:anchor="_Toc100151434" w:history="1">
            <w:r w:rsidR="00435A2E" w:rsidRPr="005272E7">
              <w:rPr>
                <w:rStyle w:val="Hyperlink"/>
                <w:noProof/>
                <w:lang w:val="fr-FR"/>
              </w:rPr>
              <w:t>Remplir</w:t>
            </w:r>
            <w:r w:rsidR="00435A2E">
              <w:rPr>
                <w:noProof/>
                <w:webHidden/>
              </w:rPr>
              <w:tab/>
            </w:r>
            <w:r w:rsidR="00435A2E">
              <w:rPr>
                <w:noProof/>
                <w:webHidden/>
              </w:rPr>
              <w:fldChar w:fldCharType="begin"/>
            </w:r>
            <w:r w:rsidR="00435A2E">
              <w:rPr>
                <w:noProof/>
                <w:webHidden/>
              </w:rPr>
              <w:instrText xml:space="preserve"> PAGEREF _Toc100151434 \h </w:instrText>
            </w:r>
            <w:r w:rsidR="00435A2E">
              <w:rPr>
                <w:noProof/>
                <w:webHidden/>
              </w:rPr>
            </w:r>
            <w:r w:rsidR="00435A2E">
              <w:rPr>
                <w:noProof/>
                <w:webHidden/>
              </w:rPr>
              <w:fldChar w:fldCharType="separate"/>
            </w:r>
            <w:r w:rsidR="00435A2E">
              <w:rPr>
                <w:noProof/>
                <w:webHidden/>
              </w:rPr>
              <w:t>5</w:t>
            </w:r>
            <w:r w:rsidR="00435A2E">
              <w:rPr>
                <w:noProof/>
                <w:webHidden/>
              </w:rPr>
              <w:fldChar w:fldCharType="end"/>
            </w:r>
          </w:hyperlink>
        </w:p>
        <w:p w14:paraId="7AF43E7B" w14:textId="025E1E65" w:rsidR="00435A2E" w:rsidRDefault="003666FA">
          <w:pPr>
            <w:pStyle w:val="TOC2"/>
            <w:tabs>
              <w:tab w:val="right" w:leader="dot" w:pos="12950"/>
            </w:tabs>
            <w:rPr>
              <w:noProof/>
              <w:sz w:val="22"/>
              <w:szCs w:val="22"/>
              <w:lang w:eastAsia="en-CA"/>
            </w:rPr>
          </w:pPr>
          <w:hyperlink w:anchor="_Toc100151435" w:history="1">
            <w:r w:rsidR="00435A2E" w:rsidRPr="005272E7">
              <w:rPr>
                <w:rStyle w:val="Hyperlink"/>
                <w:noProof/>
                <w:lang w:val="fr-FR"/>
              </w:rPr>
              <w:t>Analyse</w:t>
            </w:r>
            <w:r w:rsidR="00435A2E">
              <w:rPr>
                <w:noProof/>
                <w:webHidden/>
              </w:rPr>
              <w:tab/>
            </w:r>
            <w:r w:rsidR="00435A2E">
              <w:rPr>
                <w:noProof/>
                <w:webHidden/>
              </w:rPr>
              <w:fldChar w:fldCharType="begin"/>
            </w:r>
            <w:r w:rsidR="00435A2E">
              <w:rPr>
                <w:noProof/>
                <w:webHidden/>
              </w:rPr>
              <w:instrText xml:space="preserve"> PAGEREF _Toc100151435 \h </w:instrText>
            </w:r>
            <w:r w:rsidR="00435A2E">
              <w:rPr>
                <w:noProof/>
                <w:webHidden/>
              </w:rPr>
            </w:r>
            <w:r w:rsidR="00435A2E">
              <w:rPr>
                <w:noProof/>
                <w:webHidden/>
              </w:rPr>
              <w:fldChar w:fldCharType="separate"/>
            </w:r>
            <w:r w:rsidR="00435A2E">
              <w:rPr>
                <w:noProof/>
                <w:webHidden/>
              </w:rPr>
              <w:t>6</w:t>
            </w:r>
            <w:r w:rsidR="00435A2E">
              <w:rPr>
                <w:noProof/>
                <w:webHidden/>
              </w:rPr>
              <w:fldChar w:fldCharType="end"/>
            </w:r>
          </w:hyperlink>
        </w:p>
        <w:p w14:paraId="070E017A" w14:textId="4B536FF9" w:rsidR="00435A2E" w:rsidRDefault="003666FA">
          <w:pPr>
            <w:pStyle w:val="TOC1"/>
            <w:tabs>
              <w:tab w:val="right" w:leader="dot" w:pos="12950"/>
            </w:tabs>
            <w:rPr>
              <w:noProof/>
              <w:sz w:val="22"/>
              <w:szCs w:val="22"/>
              <w:lang w:eastAsia="en-CA"/>
            </w:rPr>
          </w:pPr>
          <w:hyperlink w:anchor="_Toc100151436" w:history="1">
            <w:r w:rsidR="00435A2E" w:rsidRPr="005272E7">
              <w:rPr>
                <w:rStyle w:val="Hyperlink"/>
                <w:noProof/>
                <w:lang w:val="fr-FR"/>
              </w:rPr>
              <w:t>Après l’évaluation</w:t>
            </w:r>
            <w:r w:rsidR="00435A2E">
              <w:rPr>
                <w:noProof/>
                <w:webHidden/>
              </w:rPr>
              <w:tab/>
            </w:r>
            <w:r w:rsidR="00435A2E">
              <w:rPr>
                <w:noProof/>
                <w:webHidden/>
              </w:rPr>
              <w:fldChar w:fldCharType="begin"/>
            </w:r>
            <w:r w:rsidR="00435A2E">
              <w:rPr>
                <w:noProof/>
                <w:webHidden/>
              </w:rPr>
              <w:instrText xml:space="preserve"> PAGEREF _Toc100151436 \h </w:instrText>
            </w:r>
            <w:r w:rsidR="00435A2E">
              <w:rPr>
                <w:noProof/>
                <w:webHidden/>
              </w:rPr>
            </w:r>
            <w:r w:rsidR="00435A2E">
              <w:rPr>
                <w:noProof/>
                <w:webHidden/>
              </w:rPr>
              <w:fldChar w:fldCharType="separate"/>
            </w:r>
            <w:r w:rsidR="00435A2E">
              <w:rPr>
                <w:noProof/>
                <w:webHidden/>
              </w:rPr>
              <w:t>6</w:t>
            </w:r>
            <w:r w:rsidR="00435A2E">
              <w:rPr>
                <w:noProof/>
                <w:webHidden/>
              </w:rPr>
              <w:fldChar w:fldCharType="end"/>
            </w:r>
          </w:hyperlink>
        </w:p>
        <w:p w14:paraId="3F5B647C" w14:textId="43892245" w:rsidR="00435A2E" w:rsidRDefault="003666FA">
          <w:pPr>
            <w:pStyle w:val="TOC2"/>
            <w:tabs>
              <w:tab w:val="right" w:leader="dot" w:pos="12950"/>
            </w:tabs>
            <w:rPr>
              <w:noProof/>
              <w:sz w:val="22"/>
              <w:szCs w:val="22"/>
              <w:lang w:eastAsia="en-CA"/>
            </w:rPr>
          </w:pPr>
          <w:hyperlink w:anchor="_Toc100151437" w:history="1">
            <w:r w:rsidR="00435A2E" w:rsidRPr="005272E7">
              <w:rPr>
                <w:rStyle w:val="Hyperlink"/>
                <w:noProof/>
                <w:lang w:val="fr-FR"/>
              </w:rPr>
              <w:t>Plan de mise en œuvre</w:t>
            </w:r>
            <w:r w:rsidR="00435A2E">
              <w:rPr>
                <w:noProof/>
                <w:webHidden/>
              </w:rPr>
              <w:tab/>
            </w:r>
            <w:r w:rsidR="00435A2E">
              <w:rPr>
                <w:noProof/>
                <w:webHidden/>
              </w:rPr>
              <w:fldChar w:fldCharType="begin"/>
            </w:r>
            <w:r w:rsidR="00435A2E">
              <w:rPr>
                <w:noProof/>
                <w:webHidden/>
              </w:rPr>
              <w:instrText xml:space="preserve"> PAGEREF _Toc100151437 \h </w:instrText>
            </w:r>
            <w:r w:rsidR="00435A2E">
              <w:rPr>
                <w:noProof/>
                <w:webHidden/>
              </w:rPr>
            </w:r>
            <w:r w:rsidR="00435A2E">
              <w:rPr>
                <w:noProof/>
                <w:webHidden/>
              </w:rPr>
              <w:fldChar w:fldCharType="separate"/>
            </w:r>
            <w:r w:rsidR="00435A2E">
              <w:rPr>
                <w:noProof/>
                <w:webHidden/>
              </w:rPr>
              <w:t>6</w:t>
            </w:r>
            <w:r w:rsidR="00435A2E">
              <w:rPr>
                <w:noProof/>
                <w:webHidden/>
              </w:rPr>
              <w:fldChar w:fldCharType="end"/>
            </w:r>
          </w:hyperlink>
        </w:p>
        <w:p w14:paraId="302AC79C" w14:textId="56B2CDC9" w:rsidR="00435A2E" w:rsidRDefault="003666FA">
          <w:pPr>
            <w:pStyle w:val="TOC2"/>
            <w:tabs>
              <w:tab w:val="right" w:leader="dot" w:pos="12950"/>
            </w:tabs>
            <w:rPr>
              <w:noProof/>
              <w:sz w:val="22"/>
              <w:szCs w:val="22"/>
              <w:lang w:eastAsia="en-CA"/>
            </w:rPr>
          </w:pPr>
          <w:hyperlink w:anchor="_Toc100151438" w:history="1">
            <w:r w:rsidR="00435A2E" w:rsidRPr="005272E7">
              <w:rPr>
                <w:rStyle w:val="Hyperlink"/>
                <w:noProof/>
                <w:lang w:val="fr-FR"/>
              </w:rPr>
              <w:t>Formations et ressources</w:t>
            </w:r>
            <w:r w:rsidR="00435A2E">
              <w:rPr>
                <w:noProof/>
                <w:webHidden/>
              </w:rPr>
              <w:tab/>
            </w:r>
            <w:r w:rsidR="00435A2E">
              <w:rPr>
                <w:noProof/>
                <w:webHidden/>
              </w:rPr>
              <w:fldChar w:fldCharType="begin"/>
            </w:r>
            <w:r w:rsidR="00435A2E">
              <w:rPr>
                <w:noProof/>
                <w:webHidden/>
              </w:rPr>
              <w:instrText xml:space="preserve"> PAGEREF _Toc100151438 \h </w:instrText>
            </w:r>
            <w:r w:rsidR="00435A2E">
              <w:rPr>
                <w:noProof/>
                <w:webHidden/>
              </w:rPr>
            </w:r>
            <w:r w:rsidR="00435A2E">
              <w:rPr>
                <w:noProof/>
                <w:webHidden/>
              </w:rPr>
              <w:fldChar w:fldCharType="separate"/>
            </w:r>
            <w:r w:rsidR="00435A2E">
              <w:rPr>
                <w:noProof/>
                <w:webHidden/>
              </w:rPr>
              <w:t>7</w:t>
            </w:r>
            <w:r w:rsidR="00435A2E">
              <w:rPr>
                <w:noProof/>
                <w:webHidden/>
              </w:rPr>
              <w:fldChar w:fldCharType="end"/>
            </w:r>
          </w:hyperlink>
        </w:p>
        <w:p w14:paraId="743867FC" w14:textId="1ACC1495" w:rsidR="00435A2E" w:rsidRDefault="003666FA">
          <w:pPr>
            <w:pStyle w:val="TOC1"/>
            <w:tabs>
              <w:tab w:val="right" w:leader="dot" w:pos="12950"/>
            </w:tabs>
            <w:rPr>
              <w:noProof/>
              <w:sz w:val="22"/>
              <w:szCs w:val="22"/>
              <w:lang w:eastAsia="en-CA"/>
            </w:rPr>
          </w:pPr>
          <w:hyperlink w:anchor="_Toc100151439" w:history="1">
            <w:r w:rsidR="00435A2E" w:rsidRPr="005272E7">
              <w:rPr>
                <w:rStyle w:val="Hyperlink"/>
                <w:noProof/>
              </w:rPr>
              <w:t>Ressources utiles</w:t>
            </w:r>
            <w:r w:rsidR="00435A2E">
              <w:rPr>
                <w:noProof/>
                <w:webHidden/>
              </w:rPr>
              <w:tab/>
            </w:r>
            <w:r w:rsidR="00435A2E">
              <w:rPr>
                <w:noProof/>
                <w:webHidden/>
              </w:rPr>
              <w:fldChar w:fldCharType="begin"/>
            </w:r>
            <w:r w:rsidR="00435A2E">
              <w:rPr>
                <w:noProof/>
                <w:webHidden/>
              </w:rPr>
              <w:instrText xml:space="preserve"> PAGEREF _Toc100151439 \h </w:instrText>
            </w:r>
            <w:r w:rsidR="00435A2E">
              <w:rPr>
                <w:noProof/>
                <w:webHidden/>
              </w:rPr>
            </w:r>
            <w:r w:rsidR="00435A2E">
              <w:rPr>
                <w:noProof/>
                <w:webHidden/>
              </w:rPr>
              <w:fldChar w:fldCharType="separate"/>
            </w:r>
            <w:r w:rsidR="00435A2E">
              <w:rPr>
                <w:noProof/>
                <w:webHidden/>
              </w:rPr>
              <w:t>7</w:t>
            </w:r>
            <w:r w:rsidR="00435A2E">
              <w:rPr>
                <w:noProof/>
                <w:webHidden/>
              </w:rPr>
              <w:fldChar w:fldCharType="end"/>
            </w:r>
          </w:hyperlink>
        </w:p>
        <w:p w14:paraId="4907158D" w14:textId="401FE4F8" w:rsidR="00900D61" w:rsidRPr="00900D61" w:rsidRDefault="00900D61" w:rsidP="00900D61">
          <w:r w:rsidRPr="00BE4D22">
            <w:rPr>
              <w:b/>
              <w:bCs/>
              <w:noProof/>
              <w:sz w:val="24"/>
              <w:szCs w:val="24"/>
            </w:rPr>
            <w:fldChar w:fldCharType="end"/>
          </w:r>
        </w:p>
      </w:sdtContent>
    </w:sdt>
    <w:p w14:paraId="60543A33" w14:textId="77777777" w:rsidR="00900D61" w:rsidRDefault="00900D61">
      <w:r>
        <w:br w:type="page"/>
      </w:r>
    </w:p>
    <w:p w14:paraId="58126EED" w14:textId="210B667F" w:rsidR="00900D61" w:rsidRPr="00E23D25" w:rsidRDefault="00900D61" w:rsidP="00900D61">
      <w:pPr>
        <w:pStyle w:val="Heading1"/>
        <w:rPr>
          <w:lang w:val="fr-FR"/>
        </w:rPr>
      </w:pPr>
      <w:bookmarkStart w:id="2" w:name="_Toc100151429"/>
      <w:r w:rsidRPr="00E23D25">
        <w:rPr>
          <w:lang w:val="fr-FR"/>
        </w:rPr>
        <w:lastRenderedPageBreak/>
        <w:t>Introduction</w:t>
      </w:r>
      <w:bookmarkEnd w:id="2"/>
    </w:p>
    <w:p w14:paraId="641CC206" w14:textId="319E9352" w:rsidR="007F5333" w:rsidRPr="007F5333" w:rsidRDefault="007F5333" w:rsidP="007F5333">
      <w:pPr>
        <w:rPr>
          <w:lang w:val="fr-FR"/>
        </w:rPr>
      </w:pPr>
      <w:r w:rsidRPr="007F5333">
        <w:rPr>
          <w:lang w:val="fr-FR"/>
        </w:rPr>
        <w:t xml:space="preserve">Le programme </w:t>
      </w:r>
      <w:r w:rsidRPr="007F5333">
        <w:rPr>
          <w:i/>
          <w:lang w:val="fr-FR"/>
        </w:rPr>
        <w:t>Assessing Your Organization</w:t>
      </w:r>
      <w:r w:rsidRPr="007F5333">
        <w:rPr>
          <w:lang w:val="fr-FR"/>
        </w:rPr>
        <w:t xml:space="preserve"> (AYO)</w:t>
      </w:r>
      <w:r w:rsidR="007447F5">
        <w:rPr>
          <w:lang w:val="fr-FR"/>
        </w:rPr>
        <w:t xml:space="preserve"> vise à contribuer au renforcement des organismes de conservation </w:t>
      </w:r>
      <w:r w:rsidR="007447F5" w:rsidRPr="007447F5">
        <w:rPr>
          <w:lang w:val="fr-FR"/>
        </w:rPr>
        <w:t>par le biais d'un</w:t>
      </w:r>
      <w:r w:rsidR="007447F5">
        <w:rPr>
          <w:lang w:val="fr-FR"/>
        </w:rPr>
        <w:t>e révision</w:t>
      </w:r>
      <w:r w:rsidR="007447F5" w:rsidRPr="007447F5">
        <w:rPr>
          <w:lang w:val="fr-FR"/>
        </w:rPr>
        <w:t xml:space="preserve"> et d'une discussion systématiques </w:t>
      </w:r>
      <w:r w:rsidR="007447F5">
        <w:rPr>
          <w:lang w:val="fr-FR"/>
        </w:rPr>
        <w:t>sur</w:t>
      </w:r>
      <w:r w:rsidR="007447F5" w:rsidRPr="007447F5">
        <w:rPr>
          <w:lang w:val="fr-FR"/>
        </w:rPr>
        <w:t xml:space="preserve"> leurs pratiques de gouvernance et de fonctionnement dans l'optique</w:t>
      </w:r>
      <w:r w:rsidR="007447F5">
        <w:rPr>
          <w:lang w:val="fr-FR"/>
        </w:rPr>
        <w:t xml:space="preserve"> </w:t>
      </w:r>
      <w:r w:rsidRPr="007F5333">
        <w:rPr>
          <w:lang w:val="fr-FR"/>
        </w:rPr>
        <w:t xml:space="preserve">des Normes et pratiques des </w:t>
      </w:r>
      <w:r w:rsidR="003151D4">
        <w:rPr>
          <w:lang w:val="fr-FR"/>
        </w:rPr>
        <w:t>organismes de conservation</w:t>
      </w:r>
      <w:r w:rsidRPr="007F5333">
        <w:rPr>
          <w:lang w:val="fr-FR"/>
        </w:rPr>
        <w:t xml:space="preserve"> canadiens (</w:t>
      </w:r>
      <w:r w:rsidR="003151D4" w:rsidRPr="003151D4">
        <w:rPr>
          <w:lang w:val="fr-FR"/>
        </w:rPr>
        <w:t>N&amp;P</w:t>
      </w:r>
      <w:r w:rsidRPr="007F5333">
        <w:rPr>
          <w:lang w:val="fr-FR"/>
        </w:rPr>
        <w:t xml:space="preserve">) de 2019. </w:t>
      </w:r>
    </w:p>
    <w:p w14:paraId="3E4C597D" w14:textId="6FA9181D" w:rsidR="007F5333" w:rsidRPr="007F5333" w:rsidRDefault="007F5333" w:rsidP="007F5333">
      <w:pPr>
        <w:rPr>
          <w:lang w:val="fr-FR"/>
        </w:rPr>
      </w:pPr>
      <w:r w:rsidRPr="007F5333">
        <w:rPr>
          <w:lang w:val="fr-FR"/>
        </w:rPr>
        <w:t>L'</w:t>
      </w:r>
      <w:r w:rsidRPr="002049C0">
        <w:rPr>
          <w:lang w:val="fr-FR"/>
        </w:rPr>
        <w:t>AYO</w:t>
      </w:r>
      <w:r w:rsidRPr="007F5333">
        <w:rPr>
          <w:lang w:val="fr-FR"/>
        </w:rPr>
        <w:t xml:space="preserve"> a été conçu pour les </w:t>
      </w:r>
      <w:r w:rsidR="003151D4">
        <w:rPr>
          <w:lang w:val="fr-FR"/>
        </w:rPr>
        <w:t>organismes de conservation</w:t>
      </w:r>
      <w:r w:rsidRPr="007F5333">
        <w:rPr>
          <w:lang w:val="fr-FR"/>
        </w:rPr>
        <w:t xml:space="preserve"> et d'autres groupes qui souhaitent entreprendre une analyse de leurs progrès vers la mise en œuvre des </w:t>
      </w:r>
      <w:r w:rsidR="003151D4">
        <w:rPr>
          <w:lang w:val="fr-FR"/>
        </w:rPr>
        <w:t>N</w:t>
      </w:r>
      <w:r w:rsidRPr="007F5333">
        <w:rPr>
          <w:lang w:val="fr-FR"/>
        </w:rPr>
        <w:t xml:space="preserve">&amp;P </w:t>
      </w:r>
      <w:r w:rsidR="003151D4">
        <w:rPr>
          <w:lang w:val="fr-FR"/>
        </w:rPr>
        <w:t>de l’Alliance Canadienne des organismes de conservation</w:t>
      </w:r>
      <w:r w:rsidRPr="007F5333">
        <w:rPr>
          <w:lang w:val="fr-FR"/>
        </w:rPr>
        <w:t xml:space="preserve">. Le processus AYO aide les conseils </w:t>
      </w:r>
      <w:r w:rsidR="00D83D6E">
        <w:rPr>
          <w:lang w:val="fr-FR"/>
        </w:rPr>
        <w:t xml:space="preserve">d’administration </w:t>
      </w:r>
      <w:r w:rsidRPr="007F5333">
        <w:rPr>
          <w:lang w:val="fr-FR"/>
        </w:rPr>
        <w:t xml:space="preserve">des </w:t>
      </w:r>
      <w:r w:rsidR="00D83D6E">
        <w:rPr>
          <w:lang w:val="fr-FR"/>
        </w:rPr>
        <w:t>organismes de conservation</w:t>
      </w:r>
      <w:r w:rsidRPr="007F5333">
        <w:rPr>
          <w:lang w:val="fr-FR"/>
        </w:rPr>
        <w:t xml:space="preserve"> à satisfaire aux exigences légales et réglementaires, à recruter et à former d'excellents membres du conseil, à établir des priorités pour le développement organisationnel, ainsi qu'à </w:t>
      </w:r>
      <w:r w:rsidR="00D83D6E">
        <w:rPr>
          <w:lang w:val="fr-FR"/>
        </w:rPr>
        <w:t>acquérir</w:t>
      </w:r>
      <w:r w:rsidRPr="007F5333">
        <w:rPr>
          <w:lang w:val="fr-FR"/>
        </w:rPr>
        <w:t xml:space="preserve"> des terres de manière efficace et efficiente pour la conservation et la protection.  </w:t>
      </w:r>
    </w:p>
    <w:p w14:paraId="677A15FA" w14:textId="11A122B1" w:rsidR="007447F5" w:rsidRDefault="007F5333" w:rsidP="00F57E25">
      <w:pPr>
        <w:spacing w:after="100"/>
        <w:rPr>
          <w:lang w:val="fr-FR"/>
        </w:rPr>
      </w:pPr>
      <w:r w:rsidRPr="007F5333">
        <w:rPr>
          <w:lang w:val="fr-FR"/>
        </w:rPr>
        <w:t xml:space="preserve">Des informations générales sur les </w:t>
      </w:r>
      <w:r w:rsidR="00581BFB">
        <w:rPr>
          <w:lang w:val="fr-FR"/>
        </w:rPr>
        <w:t>N</w:t>
      </w:r>
      <w:r w:rsidRPr="007F5333">
        <w:rPr>
          <w:lang w:val="fr-FR"/>
        </w:rPr>
        <w:t>&amp;P et les publications connexes sont disponibles sur le</w:t>
      </w:r>
      <w:r w:rsidR="007447F5">
        <w:rPr>
          <w:lang w:val="fr-FR"/>
        </w:rPr>
        <w:t>s</w:t>
      </w:r>
      <w:r w:rsidRPr="007F5333">
        <w:rPr>
          <w:lang w:val="fr-FR"/>
        </w:rPr>
        <w:t xml:space="preserve"> site</w:t>
      </w:r>
      <w:r w:rsidR="007447F5">
        <w:rPr>
          <w:lang w:val="fr-FR"/>
        </w:rPr>
        <w:t>s</w:t>
      </w:r>
      <w:r w:rsidR="00E27B35">
        <w:rPr>
          <w:lang w:val="fr-FR"/>
        </w:rPr>
        <w:t xml:space="preserve"> respectifs</w:t>
      </w:r>
      <w:r w:rsidRPr="007F5333">
        <w:rPr>
          <w:lang w:val="fr-FR"/>
        </w:rPr>
        <w:t xml:space="preserve"> </w:t>
      </w:r>
      <w:r w:rsidR="00E27B35">
        <w:rPr>
          <w:lang w:val="fr-FR"/>
        </w:rPr>
        <w:t xml:space="preserve">de l’Alliances </w:t>
      </w:r>
      <w:r w:rsidR="00996337">
        <w:rPr>
          <w:lang w:val="fr-FR"/>
        </w:rPr>
        <w:t>c</w:t>
      </w:r>
      <w:r w:rsidR="00E27B35">
        <w:rPr>
          <w:lang w:val="fr-FR"/>
        </w:rPr>
        <w:t>anadienne des organismes de conservation, notamment :</w:t>
      </w:r>
    </w:p>
    <w:p w14:paraId="07F22014" w14:textId="77777777" w:rsidR="00F57E25" w:rsidRDefault="00F57E25" w:rsidP="00F57E25">
      <w:pPr>
        <w:pStyle w:val="ListParagraph"/>
        <w:numPr>
          <w:ilvl w:val="0"/>
          <w:numId w:val="3"/>
        </w:numPr>
        <w:spacing w:before="0"/>
        <w:sectPr w:rsidR="00F57E25" w:rsidSect="00900D61">
          <w:pgSz w:w="15840" w:h="12240" w:orient="landscape"/>
          <w:pgMar w:top="1440" w:right="1440" w:bottom="1440" w:left="1440" w:header="708" w:footer="708" w:gutter="0"/>
          <w:cols w:space="708"/>
          <w:docGrid w:linePitch="360"/>
        </w:sectPr>
      </w:pPr>
    </w:p>
    <w:p w14:paraId="25655D8A" w14:textId="0651B750" w:rsidR="007447F5" w:rsidRDefault="003666FA" w:rsidP="00F57E25">
      <w:pPr>
        <w:pStyle w:val="ListParagraph"/>
        <w:numPr>
          <w:ilvl w:val="0"/>
          <w:numId w:val="3"/>
        </w:numPr>
        <w:spacing w:before="0"/>
        <w:ind w:left="4395"/>
      </w:pPr>
      <w:hyperlink r:id="rId12" w:history="1">
        <w:r w:rsidR="007447F5" w:rsidRPr="00D80242">
          <w:rPr>
            <w:rStyle w:val="Hyperlink"/>
          </w:rPr>
          <w:t>aclt-acoc.ca</w:t>
        </w:r>
      </w:hyperlink>
    </w:p>
    <w:p w14:paraId="1FFE4373" w14:textId="21F8971A" w:rsidR="007447F5" w:rsidRDefault="003666FA" w:rsidP="00F57E25">
      <w:pPr>
        <w:pStyle w:val="ListParagraph"/>
        <w:numPr>
          <w:ilvl w:val="0"/>
          <w:numId w:val="3"/>
        </w:numPr>
        <w:ind w:left="4395"/>
      </w:pPr>
      <w:hyperlink r:id="rId13" w:history="1">
        <w:r w:rsidR="007447F5" w:rsidRPr="00D80242">
          <w:rPr>
            <w:rStyle w:val="Hyperlink"/>
          </w:rPr>
          <w:t>rmnat.org</w:t>
        </w:r>
      </w:hyperlink>
    </w:p>
    <w:p w14:paraId="3183713D" w14:textId="28E8BFAD" w:rsidR="007447F5" w:rsidRDefault="003666FA" w:rsidP="007447F5">
      <w:pPr>
        <w:pStyle w:val="ListParagraph"/>
        <w:numPr>
          <w:ilvl w:val="0"/>
          <w:numId w:val="3"/>
        </w:numPr>
      </w:pPr>
      <w:hyperlink r:id="rId14" w:history="1">
        <w:r w:rsidR="007447F5" w:rsidRPr="00D80242">
          <w:rPr>
            <w:rStyle w:val="Hyperlink"/>
          </w:rPr>
          <w:t>otla.ca</w:t>
        </w:r>
      </w:hyperlink>
    </w:p>
    <w:p w14:paraId="072AAADA" w14:textId="7A2891A6" w:rsidR="007447F5" w:rsidRPr="007447F5" w:rsidRDefault="003666FA" w:rsidP="00F57E25">
      <w:pPr>
        <w:pStyle w:val="ListParagraph"/>
        <w:numPr>
          <w:ilvl w:val="0"/>
          <w:numId w:val="3"/>
        </w:numPr>
      </w:pPr>
      <w:hyperlink r:id="rId15" w:history="1">
        <w:r w:rsidR="007447F5" w:rsidRPr="00D80242">
          <w:rPr>
            <w:rStyle w:val="Hyperlink"/>
          </w:rPr>
          <w:t>ltabc.ca</w:t>
        </w:r>
      </w:hyperlink>
    </w:p>
    <w:p w14:paraId="22FE54F5" w14:textId="77777777" w:rsidR="00F57E25" w:rsidRDefault="00F57E25" w:rsidP="007F5333">
      <w:pPr>
        <w:rPr>
          <w:lang w:val="fr-FR"/>
        </w:rPr>
        <w:sectPr w:rsidR="00F57E25" w:rsidSect="00F57E25">
          <w:type w:val="continuous"/>
          <w:pgSz w:w="15840" w:h="12240" w:orient="landscape"/>
          <w:pgMar w:top="1440" w:right="1440" w:bottom="1440" w:left="1440" w:header="708" w:footer="708" w:gutter="0"/>
          <w:cols w:num="2" w:space="708"/>
          <w:docGrid w:linePitch="360"/>
        </w:sectPr>
      </w:pPr>
    </w:p>
    <w:p w14:paraId="0B5AFC59" w14:textId="6EC55297" w:rsidR="007F5333" w:rsidRPr="00F57E25" w:rsidRDefault="007F5333" w:rsidP="007F5333">
      <w:pPr>
        <w:rPr>
          <w:lang w:val="fr-FR"/>
        </w:rPr>
      </w:pPr>
      <w:r w:rsidRPr="007F5333">
        <w:rPr>
          <w:lang w:val="fr-FR"/>
        </w:rPr>
        <w:t xml:space="preserve">Le programme </w:t>
      </w:r>
      <w:r w:rsidRPr="00D83D6E">
        <w:rPr>
          <w:i/>
          <w:lang w:val="fr-FR"/>
        </w:rPr>
        <w:t>Assessing Your Organization</w:t>
      </w:r>
      <w:r w:rsidRPr="007F5333">
        <w:rPr>
          <w:lang w:val="fr-FR"/>
        </w:rPr>
        <w:t xml:space="preserve"> a été adapté pour les </w:t>
      </w:r>
      <w:r w:rsidR="00D83D6E">
        <w:rPr>
          <w:lang w:val="fr-FR"/>
        </w:rPr>
        <w:t>organismes de conservation</w:t>
      </w:r>
      <w:r w:rsidRPr="007F5333">
        <w:rPr>
          <w:lang w:val="fr-FR"/>
        </w:rPr>
        <w:t xml:space="preserve"> canadien</w:t>
      </w:r>
      <w:r w:rsidR="00D83D6E">
        <w:rPr>
          <w:lang w:val="fr-FR"/>
        </w:rPr>
        <w:t>s</w:t>
      </w:r>
      <w:r w:rsidRPr="007F5333">
        <w:rPr>
          <w:lang w:val="fr-FR"/>
        </w:rPr>
        <w:t xml:space="preserve"> à partir du programme AYO </w:t>
      </w:r>
      <w:r w:rsidRPr="00F57E25">
        <w:rPr>
          <w:lang w:val="fr-FR"/>
        </w:rPr>
        <w:t xml:space="preserve">de </w:t>
      </w:r>
      <w:r w:rsidR="00096837" w:rsidRPr="00F57E25">
        <w:rPr>
          <w:lang w:val="fr-FR"/>
        </w:rPr>
        <w:t>la U.S. Land Trust Al</w:t>
      </w:r>
      <w:r w:rsidR="00F57E25" w:rsidRPr="00F57E25">
        <w:rPr>
          <w:lang w:val="fr-FR"/>
        </w:rPr>
        <w:t>l</w:t>
      </w:r>
      <w:r w:rsidR="00096837" w:rsidRPr="00F57E25">
        <w:rPr>
          <w:lang w:val="fr-FR"/>
        </w:rPr>
        <w:t>iance</w:t>
      </w:r>
      <w:r w:rsidR="009C33DD" w:rsidRPr="00F57E25">
        <w:rPr>
          <w:lang w:val="fr-FR"/>
        </w:rPr>
        <w:t xml:space="preserve">. </w:t>
      </w:r>
      <w:r w:rsidR="00096837" w:rsidRPr="00F57E25">
        <w:rPr>
          <w:lang w:val="fr-FR"/>
        </w:rPr>
        <w:t>La U.S. Land Trust Alliance</w:t>
      </w:r>
      <w:r w:rsidRPr="00F57E25">
        <w:rPr>
          <w:lang w:val="fr-FR"/>
        </w:rPr>
        <w:t xml:space="preserve"> a créé un court cours pour soutenir l'AYO et la meilleure façon de l'utiliser.</w:t>
      </w:r>
    </w:p>
    <w:p w14:paraId="6C338D36" w14:textId="670802A9" w:rsidR="00AB0C1C" w:rsidRPr="007F5333" w:rsidRDefault="620C5B25" w:rsidP="00AB0C1C">
      <w:pPr>
        <w:pStyle w:val="Heading1"/>
        <w:rPr>
          <w:lang w:val="fr-FR"/>
        </w:rPr>
      </w:pPr>
      <w:bookmarkStart w:id="3" w:name="_Toc100151430"/>
      <w:r w:rsidRPr="620C5B25">
        <w:rPr>
          <w:lang w:val="fr-FR"/>
        </w:rPr>
        <w:t xml:space="preserve">POURQUOI FAIRE L’ÉVALUATION DE VOTRE ORGANISME ? </w:t>
      </w:r>
      <w:bookmarkEnd w:id="3"/>
    </w:p>
    <w:p w14:paraId="77A12EBB" w14:textId="16CA785D" w:rsidR="00464DF1" w:rsidRDefault="00464DF1" w:rsidP="00E02B64">
      <w:pPr>
        <w:rPr>
          <w:lang w:val="fr-FR"/>
        </w:rPr>
      </w:pPr>
      <w:r w:rsidRPr="00464DF1">
        <w:rPr>
          <w:lang w:val="fr-FR"/>
        </w:rPr>
        <w:t>Remplir l'AYO permet à un</w:t>
      </w:r>
      <w:r>
        <w:rPr>
          <w:lang w:val="fr-FR"/>
        </w:rPr>
        <w:t xml:space="preserve"> organisme de conservation</w:t>
      </w:r>
      <w:r w:rsidRPr="00464DF1">
        <w:rPr>
          <w:lang w:val="fr-FR"/>
        </w:rPr>
        <w:t xml:space="preserve"> d'avoir un aperçu dans le temps des pratiques qui sont actuellement mises en œuvre et de celles qui doivent être améliorées ou qui ont besoin d'une formation complémentaire. L'AYO comprend des classements pour chacune des pratiques, suivis d'une série de questions pour </w:t>
      </w:r>
      <w:r>
        <w:rPr>
          <w:lang w:val="fr-FR"/>
        </w:rPr>
        <w:t>aider l’organisme</w:t>
      </w:r>
      <w:r w:rsidRPr="00464DF1">
        <w:rPr>
          <w:lang w:val="fr-FR"/>
        </w:rPr>
        <w:t xml:space="preserve"> à déterminer où se situe actuellement l'organisation sur une échelle de 1 à 4. Il est probable qu'aucune personne de l'organisation ne connaisse toutes les informations nécessaires pour répondre de manière indépendante à tous les éléments d'évaluation. Le partage de l'information et des connaissances par la discussion et le dialogue aidera les membres de l'organisation à mieux connaître ses activités. Ensemble, le personnel de l</w:t>
      </w:r>
      <w:r>
        <w:rPr>
          <w:lang w:val="fr-FR"/>
        </w:rPr>
        <w:t xml:space="preserve">’organisme de conservation </w:t>
      </w:r>
      <w:r w:rsidRPr="00464DF1">
        <w:rPr>
          <w:lang w:val="fr-FR"/>
        </w:rPr>
        <w:t>peut élaborer une voie pour mettre en œuvre les changements identifiés dans les pratiques et célébrer les points forts et les réalisations.</w:t>
      </w:r>
    </w:p>
    <w:p w14:paraId="7078588E" w14:textId="32240091" w:rsidR="00464DF1" w:rsidRPr="00464DF1" w:rsidRDefault="00464DF1" w:rsidP="00E02B64">
      <w:pPr>
        <w:rPr>
          <w:lang w:val="fr-FR"/>
        </w:rPr>
      </w:pPr>
      <w:r w:rsidRPr="00464DF1">
        <w:rPr>
          <w:lang w:val="fr-FR"/>
        </w:rPr>
        <w:t>Afin de saisir les priorités identifiées lors de l'évaluation, chaque section se termine par une section "Définition des priorités" qui résume les forces, les faiblesses et les domaines d'action de l'organisation. Les organisations peuvent décider d'intégrer les mesures à prendre dans leurs plans stratégiques et annuels, et de procéder à une réévaluation tous les trois ans environ. Les formulaires d'évaluation remplis constitueront un dossier inestimable sur la croissance et le développement de l'organisation.</w:t>
      </w:r>
    </w:p>
    <w:p w14:paraId="49178284" w14:textId="0CF17D7C" w:rsidR="00AB0C1C" w:rsidRPr="00464DF1" w:rsidRDefault="620C5B25" w:rsidP="00F57E25">
      <w:pPr>
        <w:pStyle w:val="Heading1"/>
        <w:spacing w:before="240"/>
        <w:rPr>
          <w:lang w:val="fr-FR"/>
        </w:rPr>
      </w:pPr>
      <w:bookmarkStart w:id="4" w:name="_Toc100151431"/>
      <w:r w:rsidRPr="620C5B25">
        <w:rPr>
          <w:lang w:val="fr-FR"/>
        </w:rPr>
        <w:lastRenderedPageBreak/>
        <w:t>QUI DEVRAIT FAIRE L’ÉVALUATION ?</w:t>
      </w:r>
      <w:bookmarkEnd w:id="4"/>
    </w:p>
    <w:p w14:paraId="6E82A571" w14:textId="32F4391F" w:rsidR="00464DF1" w:rsidRPr="00464DF1" w:rsidRDefault="00464DF1" w:rsidP="00464DF1">
      <w:pPr>
        <w:rPr>
          <w:lang w:val="fr-FR"/>
        </w:rPr>
      </w:pPr>
      <w:r w:rsidRPr="00464DF1">
        <w:rPr>
          <w:lang w:val="fr-FR"/>
        </w:rPr>
        <w:t xml:space="preserve">Pour les </w:t>
      </w:r>
      <w:r>
        <w:rPr>
          <w:lang w:val="fr-FR"/>
        </w:rPr>
        <w:t>organismes de conservation composés</w:t>
      </w:r>
      <w:r w:rsidRPr="00464DF1">
        <w:rPr>
          <w:lang w:val="fr-FR"/>
        </w:rPr>
        <w:t xml:space="preserve"> entièrement bénévoles ou dotés d'un personnel réduit, il est préférable que l'AYO soit réalisée par l'ensemble du conseil d'administration (et du personnel). L'évaluation complète peut prendre du temps - plusieurs heures ou plusieurs jours - selon la quantité de préparation préalable et le détail et la profondeur de la discussion pendant la ou les réunions d'évaluation. </w:t>
      </w:r>
    </w:p>
    <w:p w14:paraId="05F427AD" w14:textId="7ED7EEB6" w:rsidR="00464DF1" w:rsidRPr="00464DF1" w:rsidRDefault="00464DF1" w:rsidP="00464DF1">
      <w:pPr>
        <w:rPr>
          <w:lang w:val="fr-FR"/>
        </w:rPr>
      </w:pPr>
      <w:r w:rsidRPr="00464DF1">
        <w:rPr>
          <w:lang w:val="fr-FR"/>
        </w:rPr>
        <w:t xml:space="preserve">Les </w:t>
      </w:r>
      <w:r>
        <w:rPr>
          <w:lang w:val="fr-FR"/>
        </w:rPr>
        <w:t>organismes de conservation</w:t>
      </w:r>
      <w:r w:rsidRPr="00464DF1">
        <w:rPr>
          <w:lang w:val="fr-FR"/>
        </w:rPr>
        <w:t xml:space="preserve"> ayant un personnel plus important utilisent plusieurs approches pour compléter l'AYO. Certains choisissent de demander au personnel de procéder d'abord à l'évaluation, puis de partager les résultats avec le conseil lors d'une discussion animée. Dans d'autres organisations, le conseil peut examiner ou compléter l'évaluation avec le personnel. Si le conseil a des comités actifs, chaque comité peut examiner les normes qui s'appliquent le mieux à son comité et en faire rapport. Les organisations dont le personnel est très nombreux et les départements multiples peuvent choisir d'avoir un chef du personnel qui délègue la réalisation de sections spécifiques à un membre du personnel approprié. Étant donné que le conseil d'administration est responsable de la surveillance des opérations de l</w:t>
      </w:r>
      <w:r>
        <w:rPr>
          <w:lang w:val="fr-FR"/>
        </w:rPr>
        <w:t>’organisme de conservation</w:t>
      </w:r>
      <w:r w:rsidRPr="00464DF1">
        <w:rPr>
          <w:lang w:val="fr-FR"/>
        </w:rPr>
        <w:t>, il est fortement recommandé qu'il examine et prenne en considération le rapport d'évaluation final. Le temps nécessaire à la réalisation de l'évaluation et à l'examen du conseil varie énormément.</w:t>
      </w:r>
    </w:p>
    <w:p w14:paraId="0169B991" w14:textId="6909F0BF" w:rsidR="00AB0C1C" w:rsidRPr="00464DF1" w:rsidRDefault="620C5B25" w:rsidP="00AB0C1C">
      <w:pPr>
        <w:pStyle w:val="Heading1"/>
        <w:rPr>
          <w:lang w:val="fr-FR"/>
        </w:rPr>
      </w:pPr>
      <w:bookmarkStart w:id="5" w:name="_Toc100151432"/>
      <w:r w:rsidRPr="620C5B25">
        <w:rPr>
          <w:lang w:val="fr-FR"/>
        </w:rPr>
        <w:t>COMMENT COMPLÉTER L’ÉVALUATION DE VOTRE ORGANISME</w:t>
      </w:r>
      <w:bookmarkEnd w:id="5"/>
    </w:p>
    <w:p w14:paraId="5000B13D" w14:textId="36D424F5" w:rsidR="00AB0C1C" w:rsidRPr="009007AF" w:rsidRDefault="00435A2E" w:rsidP="00AB0C1C">
      <w:pPr>
        <w:pStyle w:val="Heading2"/>
        <w:rPr>
          <w:lang w:val="fr-FR"/>
        </w:rPr>
      </w:pPr>
      <w:bookmarkStart w:id="6" w:name="_Toc100151433"/>
      <w:r>
        <w:rPr>
          <w:lang w:val="fr-FR"/>
        </w:rPr>
        <w:t>P</w:t>
      </w:r>
      <w:r w:rsidR="00AB0C1C" w:rsidRPr="009007AF">
        <w:rPr>
          <w:lang w:val="fr-FR"/>
        </w:rPr>
        <w:t>r</w:t>
      </w:r>
      <w:r w:rsidR="000315E1">
        <w:rPr>
          <w:lang w:val="fr-FR"/>
        </w:rPr>
        <w:t>É</w:t>
      </w:r>
      <w:r w:rsidR="00AB0C1C" w:rsidRPr="009007AF">
        <w:rPr>
          <w:lang w:val="fr-FR"/>
        </w:rPr>
        <w:t>pa</w:t>
      </w:r>
      <w:r w:rsidR="00464DF1" w:rsidRPr="009007AF">
        <w:rPr>
          <w:lang w:val="fr-FR"/>
        </w:rPr>
        <w:t>ration</w:t>
      </w:r>
      <w:bookmarkEnd w:id="6"/>
      <w:r w:rsidR="00AB0C1C" w:rsidRPr="009007AF">
        <w:rPr>
          <w:lang w:val="fr-FR"/>
        </w:rPr>
        <w:t xml:space="preserve"> </w:t>
      </w:r>
    </w:p>
    <w:p w14:paraId="71BB3735" w14:textId="1384ACDE" w:rsidR="00464DF1" w:rsidRPr="00464DF1" w:rsidRDefault="00464DF1" w:rsidP="00AB0C1C">
      <w:pPr>
        <w:rPr>
          <w:lang w:val="fr-FR"/>
        </w:rPr>
      </w:pPr>
      <w:r w:rsidRPr="00464DF1">
        <w:rPr>
          <w:lang w:val="fr-FR"/>
        </w:rPr>
        <w:t xml:space="preserve">L'évaluation AYO demande aux participants de réfléchir aux pratiques de gouvernance, de finances, de transactions et d'intendance, y compris les politiques et procédures écrites. Il est utile que les participants aient accès aux principaux documents de l'organisation (voir la liste de contrôle AYO au début de chaque cahier). La préparation variera en fonction des sections de l'évaluation ou des </w:t>
      </w:r>
      <w:r>
        <w:rPr>
          <w:lang w:val="fr-FR"/>
        </w:rPr>
        <w:t>N</w:t>
      </w:r>
      <w:r w:rsidRPr="00464DF1">
        <w:rPr>
          <w:lang w:val="fr-FR"/>
        </w:rPr>
        <w:t>&amp;</w:t>
      </w:r>
      <w:r>
        <w:rPr>
          <w:lang w:val="fr-FR"/>
        </w:rPr>
        <w:t>P</w:t>
      </w:r>
      <w:r w:rsidRPr="00464DF1">
        <w:rPr>
          <w:lang w:val="fr-FR"/>
        </w:rPr>
        <w:t xml:space="preserve"> que l'organisation choisit de compléter.</w:t>
      </w:r>
    </w:p>
    <w:p w14:paraId="17974068" w14:textId="3EF25601" w:rsidR="00AB0C1C" w:rsidRPr="009007AF" w:rsidRDefault="00435A2E" w:rsidP="00AB0C1C">
      <w:pPr>
        <w:pStyle w:val="Heading2"/>
        <w:rPr>
          <w:lang w:val="fr-FR"/>
        </w:rPr>
      </w:pPr>
      <w:bookmarkStart w:id="7" w:name="_Toc100151434"/>
      <w:r>
        <w:rPr>
          <w:lang w:val="fr-FR"/>
        </w:rPr>
        <w:t>R</w:t>
      </w:r>
      <w:r w:rsidR="00464DF1" w:rsidRPr="009007AF">
        <w:rPr>
          <w:lang w:val="fr-FR"/>
        </w:rPr>
        <w:t>emplir</w:t>
      </w:r>
      <w:bookmarkEnd w:id="7"/>
      <w:r w:rsidR="00464DF1" w:rsidRPr="009007AF">
        <w:rPr>
          <w:lang w:val="fr-FR"/>
        </w:rPr>
        <w:t xml:space="preserve"> </w:t>
      </w:r>
    </w:p>
    <w:p w14:paraId="54A93A8E" w14:textId="125E1108" w:rsidR="009007AF" w:rsidRPr="009007AF" w:rsidRDefault="009007AF" w:rsidP="00AB0C1C">
      <w:pPr>
        <w:rPr>
          <w:lang w:val="fr-FR"/>
        </w:rPr>
      </w:pPr>
      <w:r w:rsidRPr="009007AF">
        <w:rPr>
          <w:lang w:val="fr-FR"/>
        </w:rPr>
        <w:t xml:space="preserve">Vous pouvez remplir l'AYO en suivant les </w:t>
      </w:r>
      <w:r>
        <w:rPr>
          <w:lang w:val="fr-FR"/>
        </w:rPr>
        <w:t>N</w:t>
      </w:r>
      <w:r w:rsidRPr="009007AF">
        <w:rPr>
          <w:lang w:val="fr-FR"/>
        </w:rPr>
        <w:t xml:space="preserve">&amp;P </w:t>
      </w:r>
      <w:r>
        <w:rPr>
          <w:lang w:val="fr-FR"/>
        </w:rPr>
        <w:t>canadienne</w:t>
      </w:r>
      <w:r w:rsidRPr="009007AF">
        <w:rPr>
          <w:lang w:val="fr-FR"/>
        </w:rPr>
        <w:t xml:space="preserve"> dans l'ordre numérique. Sinon, les éléments de pratique sont regroupés en quatre sections d'évaluation distinctes - gouvernance, finances, transactions et intendance (avec des sections distinctes sur l'intendance des servitudes de conservation et l'intendance des </w:t>
      </w:r>
      <w:r w:rsidR="00AE595F">
        <w:rPr>
          <w:lang w:val="fr-FR"/>
        </w:rPr>
        <w:t>terres en plein titre</w:t>
      </w:r>
      <w:r w:rsidRPr="009007AF">
        <w:rPr>
          <w:lang w:val="fr-FR"/>
        </w:rPr>
        <w:t xml:space="preserve">, qui reflètent plus fidèlement la façon dont les </w:t>
      </w:r>
      <w:r w:rsidR="00AE595F">
        <w:rPr>
          <w:lang w:val="fr-FR"/>
        </w:rPr>
        <w:t>OC</w:t>
      </w:r>
      <w:r w:rsidRPr="009007AF">
        <w:rPr>
          <w:lang w:val="fr-FR"/>
        </w:rPr>
        <w:t xml:space="preserve"> mènent leur travail. Si vous parcourez l'AYO dans ce format, vous remarquerez que certaines pratiques semblent avoir été laissées de côté. Cela est dû au fait qu'elles sont incluses dans une section différente. Les différents formats permettent à une organisation de compléter les sections d'évaluation en une seule fois ou une à la fois.</w:t>
      </w:r>
    </w:p>
    <w:p w14:paraId="3A215B61" w14:textId="77777777" w:rsidR="00AE595F" w:rsidRPr="00AE595F" w:rsidRDefault="00AE595F" w:rsidP="00AE595F">
      <w:pPr>
        <w:rPr>
          <w:lang w:val="fr-FR"/>
        </w:rPr>
      </w:pPr>
      <w:r w:rsidRPr="00AE595F">
        <w:rPr>
          <w:lang w:val="fr-FR"/>
        </w:rPr>
        <w:t xml:space="preserve">L'AYO identifie les éléments fondamentaux de la pratique en </w:t>
      </w:r>
      <w:r w:rsidRPr="00AE595F">
        <w:rPr>
          <w:color w:val="6C9D31" w:themeColor="accent1"/>
          <w:lang w:val="fr-FR"/>
        </w:rPr>
        <w:t>caractères verts</w:t>
      </w:r>
      <w:r w:rsidRPr="00AE595F">
        <w:rPr>
          <w:lang w:val="fr-FR"/>
        </w:rPr>
        <w:t xml:space="preserve">.  </w:t>
      </w:r>
    </w:p>
    <w:p w14:paraId="2CBB6C76" w14:textId="77777777" w:rsidR="00AE595F" w:rsidRPr="00AE595F" w:rsidRDefault="00AE595F" w:rsidP="00AE595F">
      <w:pPr>
        <w:rPr>
          <w:lang w:val="fr-FR"/>
        </w:rPr>
      </w:pPr>
      <w:r w:rsidRPr="00AE595F">
        <w:rPr>
          <w:lang w:val="fr-FR"/>
        </w:rPr>
        <w:t xml:space="preserve">Chaque participant doit répondre aux questions le plus honnêtement possible et du point de vue de l'individu sur la façon dont l'organisation met en œuvre la pratique aujourd'hui. Il n'y a pas de bonne ou de mauvaise réponse. </w:t>
      </w:r>
    </w:p>
    <w:p w14:paraId="29EB103E" w14:textId="77777777" w:rsidR="00AE595F" w:rsidRDefault="00AE595F" w:rsidP="00AB0C1C">
      <w:pPr>
        <w:rPr>
          <w:lang w:val="fr-FR"/>
        </w:rPr>
      </w:pPr>
      <w:r w:rsidRPr="00AE595F">
        <w:rPr>
          <w:lang w:val="fr-FR"/>
        </w:rPr>
        <w:lastRenderedPageBreak/>
        <w:t xml:space="preserve">L'AYO comprend des classements pour chacune des pratiques et les participants sont invités à choisir : </w:t>
      </w:r>
    </w:p>
    <w:p w14:paraId="537792D5" w14:textId="2418FCE0" w:rsidR="00AB0C1C" w:rsidRPr="007447F5" w:rsidRDefault="00AB0C1C" w:rsidP="007447F5">
      <w:pPr>
        <w:pStyle w:val="ListParagraph"/>
      </w:pPr>
      <w:r w:rsidRPr="007447F5">
        <w:t xml:space="preserve">1 – </w:t>
      </w:r>
      <w:r w:rsidR="00AE595F" w:rsidRPr="007447F5">
        <w:t>Ne répond pas actuellement à la pratique</w:t>
      </w:r>
      <w:r w:rsidRPr="007447F5">
        <w:t xml:space="preserve"> </w:t>
      </w:r>
    </w:p>
    <w:p w14:paraId="2D48E194" w14:textId="3E2EA11D" w:rsidR="00AB0C1C" w:rsidRPr="007447F5" w:rsidRDefault="00AB0C1C" w:rsidP="007447F5">
      <w:pPr>
        <w:pStyle w:val="ListParagraph"/>
      </w:pPr>
      <w:r w:rsidRPr="007447F5">
        <w:t xml:space="preserve">2 – </w:t>
      </w:r>
      <w:r w:rsidR="00AE595F" w:rsidRPr="007447F5">
        <w:t>Répond parfois à la pratique</w:t>
      </w:r>
      <w:r w:rsidRPr="007447F5">
        <w:t xml:space="preserve"> </w:t>
      </w:r>
    </w:p>
    <w:p w14:paraId="6002A954" w14:textId="61667AA1" w:rsidR="00AB0C1C" w:rsidRPr="007447F5" w:rsidRDefault="00AB0C1C" w:rsidP="007447F5">
      <w:pPr>
        <w:pStyle w:val="ListParagraph"/>
      </w:pPr>
      <w:r w:rsidRPr="007447F5">
        <w:t xml:space="preserve">3 – </w:t>
      </w:r>
      <w:r w:rsidR="00AE595F" w:rsidRPr="007447F5">
        <w:t>Répond habituellement à la pratique</w:t>
      </w:r>
      <w:r w:rsidRPr="007447F5">
        <w:t xml:space="preserve"> </w:t>
      </w:r>
    </w:p>
    <w:p w14:paraId="6126EF0E" w14:textId="3B41378C" w:rsidR="00AB0C1C" w:rsidRPr="007447F5" w:rsidRDefault="00AB0C1C" w:rsidP="007447F5">
      <w:pPr>
        <w:pStyle w:val="ListParagraph"/>
      </w:pPr>
      <w:r w:rsidRPr="007447F5">
        <w:t xml:space="preserve">4 – </w:t>
      </w:r>
      <w:r w:rsidR="00AE595F" w:rsidRPr="007447F5">
        <w:t>Atteint ou dépasse la pratique</w:t>
      </w:r>
      <w:r w:rsidRPr="007447F5">
        <w:t xml:space="preserve"> </w:t>
      </w:r>
    </w:p>
    <w:p w14:paraId="2DADC960" w14:textId="143DD111" w:rsidR="00AB0C1C" w:rsidRDefault="00AE595F" w:rsidP="007447F5">
      <w:pPr>
        <w:pStyle w:val="ListParagraph"/>
      </w:pPr>
      <w:r>
        <w:t>Incertain</w:t>
      </w:r>
    </w:p>
    <w:p w14:paraId="03A8A355" w14:textId="6A07667A" w:rsidR="00AE595F" w:rsidRPr="00AE595F" w:rsidRDefault="00AE595F" w:rsidP="00AE595F">
      <w:pPr>
        <w:rPr>
          <w:lang w:val="fr-FR"/>
        </w:rPr>
      </w:pPr>
      <w:r w:rsidRPr="00AE595F">
        <w:rPr>
          <w:lang w:val="fr-FR"/>
        </w:rPr>
        <w:t>Lorsque vous choisissez le numéro, considérez attentivement la pratique telle qu'elle est écrite. Parfois, une organisation peut avoir des politiques, des procédures et des lignes directrices écrites</w:t>
      </w:r>
      <w:r w:rsidR="000315E1">
        <w:rPr>
          <w:lang w:val="fr-FR"/>
        </w:rPr>
        <w:t>,</w:t>
      </w:r>
      <w:r w:rsidRPr="00AE595F">
        <w:rPr>
          <w:lang w:val="fr-FR"/>
        </w:rPr>
        <w:t xml:space="preserve"> mais ne pas mettre en œuvre chaque élément tout le temps ou conformément à ces politiques. Pour la plupart des questions, les participants ont également la possibilité d'indiquer "incertain". Il s'agit d'une réponse acceptable et utile qui peut mener à des discussions importantes ou identifier des besoins de formation. </w:t>
      </w:r>
    </w:p>
    <w:p w14:paraId="630BBADA" w14:textId="747C799A" w:rsidR="00AE595F" w:rsidRPr="00AE595F" w:rsidRDefault="00AE595F" w:rsidP="00AE595F">
      <w:pPr>
        <w:rPr>
          <w:lang w:val="fr-FR"/>
        </w:rPr>
      </w:pPr>
      <w:r w:rsidRPr="00AE595F">
        <w:rPr>
          <w:lang w:val="fr-FR"/>
        </w:rPr>
        <w:t xml:space="preserve">Il existe également des questions ouvertes pour de nombreuses pratiques. Les participants sont encouragés à être aussi précis que possible. Après chaque pratique, il est possible de faire des commentaires généraux pour fournir des informations supplémentaires, poser des questions ou partager des idées. Après chaque </w:t>
      </w:r>
      <w:r w:rsidR="00756A63">
        <w:rPr>
          <w:lang w:val="fr-FR"/>
        </w:rPr>
        <w:t>N</w:t>
      </w:r>
      <w:r w:rsidRPr="00AE595F">
        <w:rPr>
          <w:lang w:val="fr-FR"/>
        </w:rPr>
        <w:t>&amp;P</w:t>
      </w:r>
      <w:r w:rsidR="00756A63">
        <w:rPr>
          <w:lang w:val="fr-FR"/>
        </w:rPr>
        <w:t xml:space="preserve"> canadienne</w:t>
      </w:r>
      <w:r w:rsidRPr="00AE595F">
        <w:rPr>
          <w:lang w:val="fr-FR"/>
        </w:rPr>
        <w:t xml:space="preserve"> ou groupe</w:t>
      </w:r>
      <w:r w:rsidR="00756A63">
        <w:rPr>
          <w:lang w:val="fr-FR"/>
        </w:rPr>
        <w:t>ment</w:t>
      </w:r>
      <w:r w:rsidRPr="00AE595F">
        <w:rPr>
          <w:lang w:val="fr-FR"/>
        </w:rPr>
        <w:t xml:space="preserve"> de </w:t>
      </w:r>
      <w:r w:rsidR="00756A63">
        <w:rPr>
          <w:lang w:val="fr-FR"/>
        </w:rPr>
        <w:t>N</w:t>
      </w:r>
      <w:r w:rsidRPr="00AE595F">
        <w:rPr>
          <w:lang w:val="fr-FR"/>
        </w:rPr>
        <w:t xml:space="preserve">&amp;P </w:t>
      </w:r>
      <w:r w:rsidR="00756A63">
        <w:rPr>
          <w:lang w:val="fr-FR"/>
        </w:rPr>
        <w:t>canadienne</w:t>
      </w:r>
      <w:r w:rsidRPr="00AE595F">
        <w:rPr>
          <w:lang w:val="fr-FR"/>
        </w:rPr>
        <w:t>, il est possible de réfléchir aux forces, aux défis et aux priorités.</w:t>
      </w:r>
    </w:p>
    <w:p w14:paraId="5340AAA1" w14:textId="5E688D5A" w:rsidR="00AB0C1C" w:rsidRPr="00676F55" w:rsidRDefault="00435A2E" w:rsidP="00AB0C1C">
      <w:pPr>
        <w:pStyle w:val="Heading2"/>
        <w:rPr>
          <w:lang w:val="fr-FR"/>
        </w:rPr>
      </w:pPr>
      <w:bookmarkStart w:id="8" w:name="_Toc100151435"/>
      <w:r>
        <w:rPr>
          <w:lang w:val="fr-FR"/>
        </w:rPr>
        <w:t>A</w:t>
      </w:r>
      <w:r w:rsidR="00AB0C1C" w:rsidRPr="00676F55">
        <w:rPr>
          <w:lang w:val="fr-FR"/>
        </w:rPr>
        <w:t>naly</w:t>
      </w:r>
      <w:r w:rsidR="00756A63" w:rsidRPr="00676F55">
        <w:rPr>
          <w:lang w:val="fr-FR"/>
        </w:rPr>
        <w:t>se</w:t>
      </w:r>
      <w:bookmarkEnd w:id="8"/>
    </w:p>
    <w:p w14:paraId="7A0BE15A" w14:textId="5D2F35B5" w:rsidR="00756A63" w:rsidRPr="00676F55" w:rsidRDefault="00756A63" w:rsidP="00756A63">
      <w:pPr>
        <w:rPr>
          <w:lang w:val="fr-FR"/>
        </w:rPr>
      </w:pPr>
      <w:r w:rsidRPr="00756A63">
        <w:rPr>
          <w:lang w:val="fr-FR"/>
        </w:rPr>
        <w:t xml:space="preserve">Une fois que l'organisation ou les individus ont terminé l'évaluation, examinez les réponses. L'examen peut être abordé de différentes manières. Les organisations entièrement bénévoles ou disposant d'un personnel réduit peuvent choisir de réunir tous les participants et d'examiner l'évaluation collectivement. Ensemble, le groupe peut célébrer ses succès et déterminer les lacunes et les besoins pour améliorer la mise en œuvre des </w:t>
      </w:r>
      <w:r w:rsidR="00676F55">
        <w:rPr>
          <w:lang w:val="fr-FR"/>
        </w:rPr>
        <w:t>N</w:t>
      </w:r>
      <w:r w:rsidRPr="00756A63">
        <w:rPr>
          <w:lang w:val="fr-FR"/>
        </w:rPr>
        <w:t xml:space="preserve">&amp;P </w:t>
      </w:r>
      <w:r w:rsidR="00676F55">
        <w:rPr>
          <w:lang w:val="fr-FR"/>
        </w:rPr>
        <w:t>canadiennes</w:t>
      </w:r>
      <w:r w:rsidRPr="00756A63">
        <w:rPr>
          <w:lang w:val="fr-FR"/>
        </w:rPr>
        <w:t xml:space="preserve">. Pour les organismes plus importants, une équipe de personnes peut examiner les réponses et déterminer les priorités à partager avec les autres pour la discussion et la planification. </w:t>
      </w:r>
      <w:r w:rsidRPr="00676F55">
        <w:rPr>
          <w:lang w:val="fr-FR"/>
        </w:rPr>
        <w:t xml:space="preserve">Ce processus peut prendre du temps et nécessiter plusieurs réunions pour achever le travail. </w:t>
      </w:r>
    </w:p>
    <w:p w14:paraId="4ED6533F" w14:textId="7B2126CF" w:rsidR="00756A63" w:rsidRPr="00676F55" w:rsidRDefault="00756A63" w:rsidP="00756A63">
      <w:pPr>
        <w:rPr>
          <w:lang w:val="fr-FR"/>
        </w:rPr>
      </w:pPr>
      <w:r w:rsidRPr="00676F55">
        <w:rPr>
          <w:lang w:val="fr-FR"/>
        </w:rPr>
        <w:t>Lors de l'évaluation de l'ensemble de</w:t>
      </w:r>
      <w:r w:rsidR="00676F55">
        <w:rPr>
          <w:lang w:val="fr-FR"/>
        </w:rPr>
        <w:t xml:space="preserve">s </w:t>
      </w:r>
      <w:r w:rsidRPr="00676F55">
        <w:rPr>
          <w:lang w:val="fr-FR"/>
        </w:rPr>
        <w:t>évaluation</w:t>
      </w:r>
      <w:r w:rsidR="00676F55">
        <w:rPr>
          <w:lang w:val="fr-FR"/>
        </w:rPr>
        <w:t>s de chaque</w:t>
      </w:r>
      <w:r w:rsidRPr="00676F55">
        <w:rPr>
          <w:lang w:val="fr-FR"/>
        </w:rPr>
        <w:t xml:space="preserve"> participant, il peut y avoir un large éventail de réponses qui ne concordent pas. Ceci est normal et peut être </w:t>
      </w:r>
      <w:r w:rsidR="00676F55">
        <w:rPr>
          <w:lang w:val="fr-FR"/>
        </w:rPr>
        <w:t>en raison du</w:t>
      </w:r>
      <w:r w:rsidRPr="00676F55">
        <w:rPr>
          <w:lang w:val="fr-FR"/>
        </w:rPr>
        <w:t xml:space="preserve"> rôle du participant dans l'organisation. Il se peut qu'un membre du conseil d'administration ne comprenne pas entièrement les procédures du personnel, ou qu'une personne responsable de la diligence raisonnable du projet ne connaisse pas le protocole de mise en œuvre d'une politique de conflit d'intérêts lors d'une réunion du conseil d'administration. Lorsque les réponses ne concordent pas, ce sont des occasions de discussion, de sensibilisation et d'éducation.</w:t>
      </w:r>
    </w:p>
    <w:p w14:paraId="23C3C3C6" w14:textId="656E3F5C" w:rsidR="00AB0C1C" w:rsidRPr="00676F55" w:rsidRDefault="620C5B25" w:rsidP="00AB0C1C">
      <w:pPr>
        <w:pStyle w:val="Heading1"/>
        <w:rPr>
          <w:lang w:val="fr-FR"/>
        </w:rPr>
      </w:pPr>
      <w:bookmarkStart w:id="9" w:name="_Toc100151436"/>
      <w:r w:rsidRPr="620C5B25">
        <w:rPr>
          <w:lang w:val="fr-FR"/>
        </w:rPr>
        <w:t>APRÈS L’ÉVALUATION</w:t>
      </w:r>
      <w:bookmarkEnd w:id="9"/>
    </w:p>
    <w:p w14:paraId="283A568D" w14:textId="77D5DCB4" w:rsidR="00AB0C1C" w:rsidRPr="00676F55" w:rsidRDefault="00676F55" w:rsidP="00AB0C1C">
      <w:pPr>
        <w:rPr>
          <w:lang w:val="fr-FR"/>
        </w:rPr>
      </w:pPr>
      <w:r w:rsidRPr="00676F55">
        <w:rPr>
          <w:lang w:val="fr-FR"/>
        </w:rPr>
        <w:t>Une fois l'évaluation terminée, il est utile de préparer un plan et de déterminer les ressources et les besoins de formation de l'organisation.</w:t>
      </w:r>
    </w:p>
    <w:p w14:paraId="61172DF8" w14:textId="6D8EF7F2" w:rsidR="00AB0C1C" w:rsidRPr="00B85B93" w:rsidRDefault="00435A2E" w:rsidP="00AB0C1C">
      <w:pPr>
        <w:pStyle w:val="Heading2"/>
        <w:rPr>
          <w:lang w:val="fr-CA"/>
        </w:rPr>
      </w:pPr>
      <w:bookmarkStart w:id="10" w:name="_Toc100151437"/>
      <w:r w:rsidRPr="00B85B93">
        <w:rPr>
          <w:lang w:val="fr-CA"/>
        </w:rPr>
        <w:lastRenderedPageBreak/>
        <w:t>P</w:t>
      </w:r>
      <w:r w:rsidR="00676F55" w:rsidRPr="00B85B93">
        <w:rPr>
          <w:lang w:val="fr-CA"/>
        </w:rPr>
        <w:t>lan de mise en œuvre</w:t>
      </w:r>
      <w:bookmarkEnd w:id="10"/>
      <w:r w:rsidR="00676F55" w:rsidRPr="00B85B93">
        <w:rPr>
          <w:lang w:val="fr-CA"/>
        </w:rPr>
        <w:t xml:space="preserve"> </w:t>
      </w:r>
    </w:p>
    <w:p w14:paraId="026F0693" w14:textId="06AE1F50" w:rsidR="00676F55" w:rsidRPr="00676F55" w:rsidRDefault="00676F55" w:rsidP="00AB0C1C">
      <w:pPr>
        <w:rPr>
          <w:lang w:val="fr-FR"/>
        </w:rPr>
      </w:pPr>
      <w:r w:rsidRPr="00676F55">
        <w:rPr>
          <w:lang w:val="fr-FR"/>
        </w:rPr>
        <w:t>Nous recommandons d'intégrer les mesures à prendre dans les plans stratégiques et annuels de l'organisation et de procéder à une réévaluation tous les trois ans environ. Les formulaires d'évaluation remplis constitueront un dossier inestimable sur la croissance et le développement de l'organisation.</w:t>
      </w:r>
    </w:p>
    <w:p w14:paraId="586BF29E" w14:textId="2579415B" w:rsidR="00AB0C1C" w:rsidRPr="00676F55" w:rsidRDefault="00435A2E" w:rsidP="00AB0C1C">
      <w:pPr>
        <w:pStyle w:val="Heading2"/>
        <w:rPr>
          <w:lang w:val="fr-FR"/>
        </w:rPr>
      </w:pPr>
      <w:bookmarkStart w:id="11" w:name="_Toc100151438"/>
      <w:r>
        <w:rPr>
          <w:lang w:val="fr-FR"/>
        </w:rPr>
        <w:t>F</w:t>
      </w:r>
      <w:r w:rsidR="00676F55" w:rsidRPr="00676F55">
        <w:rPr>
          <w:lang w:val="fr-FR"/>
        </w:rPr>
        <w:t>ormations et ressources</w:t>
      </w:r>
      <w:bookmarkEnd w:id="11"/>
    </w:p>
    <w:p w14:paraId="5C60B00F" w14:textId="4BB20898" w:rsidR="00676F55" w:rsidRPr="00676F55" w:rsidRDefault="00996337" w:rsidP="00676F55">
      <w:pPr>
        <w:rPr>
          <w:lang w:val="fr-FR"/>
        </w:rPr>
      </w:pPr>
      <w:r w:rsidRPr="00996337">
        <w:rPr>
          <w:lang w:val="fr-FR"/>
        </w:rPr>
        <w:t xml:space="preserve">Une fois que les domaines à améliorer ont été identifiés grâce à l'AYO, un organisme de conservation peut profiter des ressources disponibles </w:t>
      </w:r>
      <w:r w:rsidR="00767F7B" w:rsidRPr="00767F7B">
        <w:rPr>
          <w:lang w:val="fr-FR"/>
        </w:rPr>
        <w:t xml:space="preserve">sur les bibliothèques de </w:t>
      </w:r>
      <w:r w:rsidR="00767F7B">
        <w:rPr>
          <w:lang w:val="fr-FR"/>
        </w:rPr>
        <w:t>N&amp;P</w:t>
      </w:r>
      <w:r w:rsidR="00722DBD" w:rsidRPr="00722DBD">
        <w:rPr>
          <w:lang w:val="fr-FR"/>
        </w:rPr>
        <w:t xml:space="preserve"> </w:t>
      </w:r>
      <w:r w:rsidR="00722DBD" w:rsidRPr="00767F7B">
        <w:rPr>
          <w:lang w:val="fr-FR"/>
        </w:rPr>
        <w:t>de</w:t>
      </w:r>
      <w:r w:rsidR="00722DBD">
        <w:rPr>
          <w:lang w:val="fr-FR"/>
        </w:rPr>
        <w:t xml:space="preserve"> l’</w:t>
      </w:r>
      <w:hyperlink r:id="rId16" w:history="1">
        <w:r w:rsidR="00722DBD" w:rsidRPr="00767F7B">
          <w:rPr>
            <w:rStyle w:val="Hyperlink"/>
            <w:lang w:val="fr-FR"/>
          </w:rPr>
          <w:t>ACOC</w:t>
        </w:r>
      </w:hyperlink>
      <w:r w:rsidR="00722DBD">
        <w:rPr>
          <w:lang w:val="fr-FR"/>
        </w:rPr>
        <w:t>, de l</w:t>
      </w:r>
      <w:hyperlink r:id="rId17" w:history="1">
        <w:r w:rsidR="00722DBD" w:rsidRPr="00767F7B">
          <w:rPr>
            <w:rStyle w:val="Hyperlink"/>
            <w:lang w:val="fr-FR"/>
          </w:rPr>
          <w:t>’OLTA</w:t>
        </w:r>
      </w:hyperlink>
      <w:r w:rsidR="00722DBD">
        <w:rPr>
          <w:lang w:val="fr-FR"/>
        </w:rPr>
        <w:t xml:space="preserve">, du </w:t>
      </w:r>
      <w:hyperlink r:id="rId18" w:history="1">
        <w:r w:rsidR="00722DBD" w:rsidRPr="00767F7B">
          <w:rPr>
            <w:rStyle w:val="Hyperlink"/>
            <w:lang w:val="fr-FR"/>
          </w:rPr>
          <w:t>RMN</w:t>
        </w:r>
      </w:hyperlink>
      <w:r w:rsidR="00722DBD">
        <w:rPr>
          <w:lang w:val="fr-FR"/>
        </w:rPr>
        <w:t xml:space="preserve"> et d</w:t>
      </w:r>
      <w:r w:rsidR="009027DA">
        <w:rPr>
          <w:lang w:val="fr-FR"/>
        </w:rPr>
        <w:t>u</w:t>
      </w:r>
      <w:r w:rsidR="00722DBD">
        <w:rPr>
          <w:lang w:val="fr-FR"/>
        </w:rPr>
        <w:t xml:space="preserve"> </w:t>
      </w:r>
      <w:hyperlink r:id="rId19" w:history="1">
        <w:r w:rsidR="00722DBD" w:rsidRPr="00767F7B">
          <w:rPr>
            <w:rStyle w:val="Hyperlink"/>
            <w:lang w:val="fr-FR"/>
          </w:rPr>
          <w:t>LTABC</w:t>
        </w:r>
      </w:hyperlink>
      <w:r w:rsidR="00722DBD">
        <w:rPr>
          <w:lang w:val="fr-FR"/>
        </w:rPr>
        <w:t>. Vous y trouverez aussi d</w:t>
      </w:r>
      <w:r w:rsidR="00767F7B" w:rsidRPr="00767F7B">
        <w:rPr>
          <w:lang w:val="fr-FR"/>
        </w:rPr>
        <w:t>es webinaires pour l'éducation et la formation</w:t>
      </w:r>
      <w:r w:rsidR="00767F7B">
        <w:rPr>
          <w:lang w:val="fr-FR"/>
        </w:rPr>
        <w:t xml:space="preserve">. </w:t>
      </w:r>
      <w:hyperlink r:id="rId20">
        <w:r w:rsidR="00722DBD" w:rsidRPr="620C5B25">
          <w:rPr>
            <w:rStyle w:val="Hyperlink"/>
            <w:lang w:val="fr-FR"/>
          </w:rPr>
          <w:t>Le centre d'apprentissage</w:t>
        </w:r>
      </w:hyperlink>
      <w:r w:rsidR="00722DBD" w:rsidRPr="620C5B25">
        <w:rPr>
          <w:lang w:val="fr-FR"/>
        </w:rPr>
        <w:t xml:space="preserve"> de la </w:t>
      </w:r>
      <w:r w:rsidR="00D80242" w:rsidRPr="00F57E25">
        <w:rPr>
          <w:lang w:val="fr-FR"/>
        </w:rPr>
        <w:t xml:space="preserve">U.S. </w:t>
      </w:r>
      <w:r w:rsidR="00D80242" w:rsidRPr="00F57E25">
        <w:rPr>
          <w:lang w:val="fr-CA"/>
        </w:rPr>
        <w:t>Land Trust Alliance</w:t>
      </w:r>
      <w:r w:rsidR="00722DBD" w:rsidRPr="620C5B25">
        <w:rPr>
          <w:lang w:val="fr-FR"/>
        </w:rPr>
        <w:t xml:space="preserve"> propose des webinaires, d'autres formations et accueil des forums de discussion où vous pouvez obtenir des réponses à vos questions.</w:t>
      </w:r>
      <w:r w:rsidR="00722DBD">
        <w:rPr>
          <w:lang w:val="fr-FR"/>
        </w:rPr>
        <w:t xml:space="preserve"> </w:t>
      </w:r>
    </w:p>
    <w:p w14:paraId="08AC05D2" w14:textId="66670BCF" w:rsidR="620C5B25" w:rsidRDefault="620C5B25" w:rsidP="620C5B25">
      <w:pPr>
        <w:rPr>
          <w:lang w:val="fr-FR"/>
        </w:rPr>
      </w:pPr>
      <w:r w:rsidRPr="620C5B25">
        <w:rPr>
          <w:lang w:val="fr-FR"/>
        </w:rPr>
        <w:t xml:space="preserve">Pour plus d'informations et/ou une assistance dans l'utilisation de Assessing Your Organization, veuillez contacter </w:t>
      </w:r>
      <w:r w:rsidR="00996337" w:rsidRPr="00996337">
        <w:rPr>
          <w:lang w:val="fr-FR"/>
        </w:rPr>
        <w:t>ACLT- ACOC (</w:t>
      </w:r>
      <w:hyperlink r:id="rId21" w:history="1">
        <w:r w:rsidR="00996337" w:rsidRPr="001F7597">
          <w:rPr>
            <w:rStyle w:val="Hyperlink"/>
            <w:lang w:val="fr-FR"/>
          </w:rPr>
          <w:t>info@acoc.ca</w:t>
        </w:r>
      </w:hyperlink>
      <w:r w:rsidR="00996337" w:rsidRPr="00996337">
        <w:rPr>
          <w:lang w:val="fr-FR"/>
        </w:rPr>
        <w:t>), OLTA (</w:t>
      </w:r>
      <w:hyperlink r:id="rId22" w:history="1">
        <w:r w:rsidR="00996337" w:rsidRPr="001F7597">
          <w:rPr>
            <w:rStyle w:val="Hyperlink"/>
            <w:lang w:val="fr-FR"/>
          </w:rPr>
          <w:t>admin@olta.ca</w:t>
        </w:r>
      </w:hyperlink>
      <w:r w:rsidR="00996337" w:rsidRPr="00996337">
        <w:rPr>
          <w:lang w:val="fr-FR"/>
        </w:rPr>
        <w:t>), RMN (</w:t>
      </w:r>
      <w:hyperlink r:id="rId23" w:history="1">
        <w:r w:rsidR="00996337" w:rsidRPr="001F7597">
          <w:rPr>
            <w:rStyle w:val="Hyperlink"/>
            <w:lang w:val="fr-FR"/>
          </w:rPr>
          <w:t>info@rmnat.org</w:t>
        </w:r>
      </w:hyperlink>
      <w:r w:rsidR="00996337" w:rsidRPr="00996337">
        <w:rPr>
          <w:lang w:val="fr-FR"/>
        </w:rPr>
        <w:t>)</w:t>
      </w:r>
      <w:r w:rsidR="00996337">
        <w:rPr>
          <w:lang w:val="fr-FR"/>
        </w:rPr>
        <w:t xml:space="preserve"> ou</w:t>
      </w:r>
      <w:r w:rsidR="00996337" w:rsidRPr="00996337">
        <w:rPr>
          <w:lang w:val="fr-FR"/>
        </w:rPr>
        <w:t xml:space="preserve"> LTABC </w:t>
      </w:r>
      <w:r w:rsidR="004D74DB">
        <w:rPr>
          <w:lang w:val="fr-FR"/>
        </w:rPr>
        <w:t>(</w:t>
      </w:r>
      <w:hyperlink r:id="rId24" w:history="1">
        <w:r w:rsidR="004D74DB" w:rsidRPr="001F7597">
          <w:rPr>
            <w:rStyle w:val="Hyperlink"/>
            <w:lang w:val="fr-FR"/>
          </w:rPr>
          <w:t>info@ltabc.ca</w:t>
        </w:r>
      </w:hyperlink>
      <w:r w:rsidR="004D74DB">
        <w:rPr>
          <w:lang w:val="fr-FR"/>
        </w:rPr>
        <w:t xml:space="preserve">). </w:t>
      </w:r>
      <w:r w:rsidR="00996337" w:rsidRPr="620C5B25" w:rsidDel="00996337">
        <w:rPr>
          <w:lang w:val="fr-FR"/>
        </w:rPr>
        <w:t xml:space="preserve"> </w:t>
      </w:r>
    </w:p>
    <w:p w14:paraId="142B3622" w14:textId="67522B7C" w:rsidR="00676F55" w:rsidRPr="00676F55" w:rsidRDefault="00676F55" w:rsidP="00676F55">
      <w:pPr>
        <w:rPr>
          <w:lang w:val="fr-FR"/>
        </w:rPr>
      </w:pPr>
      <w:r w:rsidRPr="00676F55">
        <w:rPr>
          <w:lang w:val="fr-FR"/>
        </w:rPr>
        <w:t>Merci pour votre engagement envers l'excellence en matière de conservation !</w:t>
      </w:r>
    </w:p>
    <w:p w14:paraId="03F1CC37" w14:textId="4FDADB95" w:rsidR="00E57080" w:rsidRPr="009F6515" w:rsidRDefault="620C5B25" w:rsidP="00E57080">
      <w:pPr>
        <w:pStyle w:val="Heading1"/>
        <w:rPr>
          <w:lang w:val="fr-CA"/>
        </w:rPr>
      </w:pPr>
      <w:bookmarkStart w:id="12" w:name="_Toc100151439"/>
      <w:r w:rsidRPr="009F6515">
        <w:rPr>
          <w:lang w:val="fr-CA"/>
        </w:rPr>
        <w:t>Ressources utiles</w:t>
      </w:r>
      <w:bookmarkEnd w:id="12"/>
    </w:p>
    <w:p w14:paraId="1AF9D70F" w14:textId="0E867C65" w:rsidR="00E57080" w:rsidRPr="00F57E25" w:rsidRDefault="620C5B25" w:rsidP="620C5B25">
      <w:pPr>
        <w:ind w:left="360" w:hanging="360"/>
      </w:pPr>
      <w:r w:rsidRPr="009F6515">
        <w:rPr>
          <w:lang w:val="fr-CA"/>
        </w:rPr>
        <w:t xml:space="preserve">Gouvernement du Canada. 2018. Ressources externes pour les organismes de bienfaisance. </w:t>
      </w:r>
      <w:hyperlink r:id="rId25">
        <w:r w:rsidRPr="00F57E25">
          <w:rPr>
            <w:rStyle w:val="Hyperlink"/>
          </w:rPr>
          <w:t>https://www.canada.ca/fr/agence-revenu/services/organismes-bienfaisance-dons/organismes-bienfaisance/ressources-externes-organismes-bienfaisance.html</w:t>
        </w:r>
      </w:hyperlink>
      <w:r w:rsidRPr="00F57E25">
        <w:t xml:space="preserve"> </w:t>
      </w:r>
    </w:p>
    <w:p w14:paraId="68288246" w14:textId="420883E8" w:rsidR="00E57080" w:rsidRDefault="620C5B25" w:rsidP="00E57080">
      <w:pPr>
        <w:ind w:left="360" w:hanging="360"/>
      </w:pPr>
      <w:r w:rsidRPr="009F6515">
        <w:rPr>
          <w:lang w:val="fr-CA"/>
        </w:rPr>
        <w:t xml:space="preserve">Gouvernement du Canada. 2018. États financiers. </w:t>
      </w:r>
      <w:hyperlink r:id="rId26">
        <w:r w:rsidRPr="620C5B25">
          <w:rPr>
            <w:rStyle w:val="Hyperlink"/>
          </w:rPr>
          <w:t>https://www.canada.ca/fr/agence-revenu/services/organismes-bienfaisance-dons/organismes-bienfaisance/exploitation-organisme-bienfaisance-enregistre/etats-financiers.html</w:t>
        </w:r>
      </w:hyperlink>
      <w:r>
        <w:t xml:space="preserve"> </w:t>
      </w:r>
    </w:p>
    <w:p w14:paraId="74A86F23" w14:textId="3E23AD7D" w:rsidR="00E57080" w:rsidRPr="00F57E25" w:rsidRDefault="620C5B25" w:rsidP="620C5B25">
      <w:pPr>
        <w:ind w:left="360" w:hanging="360"/>
      </w:pPr>
      <w:r w:rsidRPr="009F6515">
        <w:rPr>
          <w:lang w:val="fr-CA"/>
        </w:rPr>
        <w:t xml:space="preserve">Gouvernement du Canada. 2019. Les activités de financement par les organismes de bienfaisance enregistrés. </w:t>
      </w:r>
      <w:hyperlink r:id="rId27">
        <w:r w:rsidRPr="00F57E25">
          <w:rPr>
            <w:rStyle w:val="Hyperlink"/>
          </w:rPr>
          <w:t>https://www.canada.ca/fr/agence-revenu/services/organismes-bienfaisance-dons/organismes-bienfaisance/politiques-lignes-directrices/activites-financement-organismes-bienfaisance-enregistres.html</w:t>
        </w:r>
      </w:hyperlink>
      <w:r w:rsidRPr="00F57E25">
        <w:t xml:space="preserve"> </w:t>
      </w:r>
    </w:p>
    <w:p w14:paraId="11AFCB02" w14:textId="7E913CB2" w:rsidR="00E57080" w:rsidRPr="00F57E25" w:rsidRDefault="620C5B25" w:rsidP="620C5B25">
      <w:pPr>
        <w:ind w:left="360" w:hanging="360"/>
      </w:pPr>
      <w:r w:rsidRPr="009F6515">
        <w:rPr>
          <w:lang w:val="fr-CA"/>
        </w:rPr>
        <w:t xml:space="preserve">Gouvernement du Canada. 2018. T3010 déclaration des organismes de bienfaisance - Aperçu. </w:t>
      </w:r>
      <w:hyperlink r:id="rId28">
        <w:r w:rsidRPr="00F57E25">
          <w:rPr>
            <w:rStyle w:val="Hyperlink"/>
          </w:rPr>
          <w:t>https://www.canada.ca/fr/agence-revenu/services/organismes-bienfaisance-dons/organismes-bienfaisance/exploitation-organisme-bienfaisance-enregistre/t3010-declaration-organismes-bienfaisance-apercu.html</w:t>
        </w:r>
      </w:hyperlink>
      <w:r w:rsidRPr="00F57E25">
        <w:t xml:space="preserve"> </w:t>
      </w:r>
    </w:p>
    <w:p w14:paraId="5DAAD714" w14:textId="0DABEA8E" w:rsidR="00E57080" w:rsidRPr="00F57E25" w:rsidRDefault="620C5B25" w:rsidP="620C5B25">
      <w:pPr>
        <w:ind w:left="360" w:hanging="360"/>
      </w:pPr>
      <w:r w:rsidRPr="009F6515">
        <w:rPr>
          <w:lang w:val="fr-CA"/>
        </w:rPr>
        <w:t xml:space="preserve">Gouvernement du Canada. 2020. Qu’est-ce qu’une activité commerciale complémentaire? </w:t>
      </w:r>
      <w:hyperlink r:id="rId29">
        <w:r w:rsidRPr="00F57E25">
          <w:rPr>
            <w:rStyle w:val="Hyperlink"/>
          </w:rPr>
          <w:t>https://www.canada.ca/fr/agence-revenu/services/organismes-bienfaisance-dons/organismes-bienfaisance/politiques-lignes-directrices/enonce-politique-019-est-activite-commerciale-complementaire.html</w:t>
        </w:r>
      </w:hyperlink>
      <w:r w:rsidRPr="00F57E25">
        <w:t xml:space="preserve"> </w:t>
      </w:r>
    </w:p>
    <w:sectPr w:rsidR="00E57080" w:rsidRPr="00F57E25" w:rsidSect="00F57E25">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9EFEE" w14:textId="77777777" w:rsidR="003666FA" w:rsidRDefault="003666FA" w:rsidP="002D52D8">
      <w:pPr>
        <w:spacing w:before="0" w:after="0" w:line="240" w:lineRule="auto"/>
      </w:pPr>
      <w:r>
        <w:separator/>
      </w:r>
    </w:p>
  </w:endnote>
  <w:endnote w:type="continuationSeparator" w:id="0">
    <w:p w14:paraId="189E624E" w14:textId="77777777" w:rsidR="003666FA" w:rsidRDefault="003666FA" w:rsidP="002D5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DEFDC" w14:textId="77777777" w:rsidR="003666FA" w:rsidRDefault="003666FA" w:rsidP="002D52D8">
      <w:pPr>
        <w:spacing w:before="0" w:after="0" w:line="240" w:lineRule="auto"/>
      </w:pPr>
      <w:r>
        <w:separator/>
      </w:r>
    </w:p>
  </w:footnote>
  <w:footnote w:type="continuationSeparator" w:id="0">
    <w:p w14:paraId="54611D04" w14:textId="77777777" w:rsidR="003666FA" w:rsidRDefault="003666FA" w:rsidP="002D52D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51C"/>
    <w:multiLevelType w:val="hybridMultilevel"/>
    <w:tmpl w:val="482AE074"/>
    <w:lvl w:ilvl="0" w:tplc="6582C6E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F862B0"/>
    <w:multiLevelType w:val="hybridMultilevel"/>
    <w:tmpl w:val="8A101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4C3BD1"/>
    <w:multiLevelType w:val="hybridMultilevel"/>
    <w:tmpl w:val="FB521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699xsz65sYgCz/YuQrUqeoLHD4g8Um0LeYppmRHcs+2Ki8S9NCdmTIL/cVX9KhxoT04UtZwFU8yln8kTvJj3A==" w:salt="+Os7hBNacekoflNonz0Pbw=="/>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1C"/>
    <w:rsid w:val="000315E1"/>
    <w:rsid w:val="00096837"/>
    <w:rsid w:val="002049C0"/>
    <w:rsid w:val="00272DF3"/>
    <w:rsid w:val="002770B3"/>
    <w:rsid w:val="002A6575"/>
    <w:rsid w:val="002C0DCB"/>
    <w:rsid w:val="002D52D8"/>
    <w:rsid w:val="002E2E17"/>
    <w:rsid w:val="0031494B"/>
    <w:rsid w:val="003151D4"/>
    <w:rsid w:val="003666FA"/>
    <w:rsid w:val="003835D6"/>
    <w:rsid w:val="003D067C"/>
    <w:rsid w:val="003D0725"/>
    <w:rsid w:val="003D768F"/>
    <w:rsid w:val="004258E6"/>
    <w:rsid w:val="00435A2E"/>
    <w:rsid w:val="00464DF1"/>
    <w:rsid w:val="00484F8B"/>
    <w:rsid w:val="004D74DB"/>
    <w:rsid w:val="00581BFB"/>
    <w:rsid w:val="005F1038"/>
    <w:rsid w:val="00676F55"/>
    <w:rsid w:val="006D4876"/>
    <w:rsid w:val="00722DBD"/>
    <w:rsid w:val="00726447"/>
    <w:rsid w:val="007447F5"/>
    <w:rsid w:val="00756A63"/>
    <w:rsid w:val="00766D80"/>
    <w:rsid w:val="00767F7B"/>
    <w:rsid w:val="007B6356"/>
    <w:rsid w:val="007D3752"/>
    <w:rsid w:val="007F51BA"/>
    <w:rsid w:val="007F5333"/>
    <w:rsid w:val="00874424"/>
    <w:rsid w:val="00897FB2"/>
    <w:rsid w:val="008E7EF8"/>
    <w:rsid w:val="009007AF"/>
    <w:rsid w:val="00900D61"/>
    <w:rsid w:val="009027DA"/>
    <w:rsid w:val="00996337"/>
    <w:rsid w:val="009C33DD"/>
    <w:rsid w:val="009F6515"/>
    <w:rsid w:val="00A30DD5"/>
    <w:rsid w:val="00AB0C1C"/>
    <w:rsid w:val="00AE595F"/>
    <w:rsid w:val="00B85B93"/>
    <w:rsid w:val="00B90079"/>
    <w:rsid w:val="00BD7143"/>
    <w:rsid w:val="00BE471A"/>
    <w:rsid w:val="00BE50EF"/>
    <w:rsid w:val="00C65C4F"/>
    <w:rsid w:val="00CA25EB"/>
    <w:rsid w:val="00D4242B"/>
    <w:rsid w:val="00D516C3"/>
    <w:rsid w:val="00D75AAA"/>
    <w:rsid w:val="00D80242"/>
    <w:rsid w:val="00D83D6E"/>
    <w:rsid w:val="00DB0324"/>
    <w:rsid w:val="00DC1D57"/>
    <w:rsid w:val="00DF04CD"/>
    <w:rsid w:val="00E02B64"/>
    <w:rsid w:val="00E23D25"/>
    <w:rsid w:val="00E27B35"/>
    <w:rsid w:val="00E510BC"/>
    <w:rsid w:val="00E57080"/>
    <w:rsid w:val="00E879AE"/>
    <w:rsid w:val="00F57E25"/>
    <w:rsid w:val="620C5B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A229"/>
  <w15:chartTrackingRefBased/>
  <w15:docId w15:val="{2C3BEACF-66BC-4A30-AE0E-F5979236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DCB"/>
  </w:style>
  <w:style w:type="paragraph" w:styleId="Heading1">
    <w:name w:val="heading 1"/>
    <w:basedOn w:val="Normal"/>
    <w:next w:val="Normal"/>
    <w:link w:val="Heading1Char"/>
    <w:uiPriority w:val="9"/>
    <w:qFormat/>
    <w:rsid w:val="002C0DCB"/>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C0DCB"/>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C0DCB"/>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2C0DCB"/>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2C0DCB"/>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2C0DCB"/>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2C0DCB"/>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2C0DC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0DC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customStyle="1" w:styleId="Default">
    <w:name w:val="Default"/>
    <w:rsid w:val="00AB0C1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447F5"/>
    <w:pPr>
      <w:numPr>
        <w:numId w:val="2"/>
      </w:numPr>
      <w:contextualSpacing/>
    </w:pPr>
    <w:rPr>
      <w:lang w:val="fr-FR"/>
    </w:rPr>
  </w:style>
  <w:style w:type="character" w:customStyle="1" w:styleId="Heading1Char">
    <w:name w:val="Heading 1 Char"/>
    <w:basedOn w:val="DefaultParagraphFont"/>
    <w:link w:val="Heading1"/>
    <w:uiPriority w:val="9"/>
    <w:rsid w:val="002C0DCB"/>
    <w:rPr>
      <w:caps/>
      <w:color w:val="FFFFFF" w:themeColor="background1"/>
      <w:spacing w:val="15"/>
      <w:sz w:val="22"/>
      <w:szCs w:val="22"/>
      <w:shd w:val="clear" w:color="auto" w:fill="6C9D31" w:themeFill="accent1"/>
    </w:rPr>
  </w:style>
  <w:style w:type="character" w:customStyle="1" w:styleId="Heading2Char">
    <w:name w:val="Heading 2 Char"/>
    <w:basedOn w:val="DefaultParagraphFont"/>
    <w:link w:val="Heading2"/>
    <w:uiPriority w:val="9"/>
    <w:rsid w:val="002C0DCB"/>
    <w:rPr>
      <w:caps/>
      <w:spacing w:val="15"/>
      <w:shd w:val="clear" w:color="auto" w:fill="E1F0D0" w:themeFill="accent1" w:themeFillTint="33"/>
    </w:rPr>
  </w:style>
  <w:style w:type="character" w:styleId="Hyperlink">
    <w:name w:val="Hyperlink"/>
    <w:basedOn w:val="DefaultParagraphFont"/>
    <w:uiPriority w:val="99"/>
    <w:unhideWhenUsed/>
    <w:rsid w:val="005F1038"/>
    <w:rPr>
      <w:color w:val="00ADEF" w:themeColor="hyperlink"/>
      <w:u w:val="single"/>
    </w:rPr>
  </w:style>
  <w:style w:type="paragraph" w:styleId="Title">
    <w:name w:val="Title"/>
    <w:basedOn w:val="Normal"/>
    <w:next w:val="Normal"/>
    <w:link w:val="TitleChar"/>
    <w:uiPriority w:val="10"/>
    <w:qFormat/>
    <w:rsid w:val="002C0DCB"/>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2C0DCB"/>
    <w:rPr>
      <w:rFonts w:asciiTheme="majorHAnsi" w:eastAsiaTheme="majorEastAsia" w:hAnsiTheme="majorHAnsi" w:cstheme="majorBidi"/>
      <w:caps/>
      <w:color w:val="6C9D31" w:themeColor="accent1"/>
      <w:spacing w:val="10"/>
      <w:sz w:val="52"/>
      <w:szCs w:val="52"/>
    </w:rPr>
  </w:style>
  <w:style w:type="character" w:styleId="CommentReference">
    <w:name w:val="annotation reference"/>
    <w:basedOn w:val="DefaultParagraphFont"/>
    <w:uiPriority w:val="99"/>
    <w:semiHidden/>
    <w:unhideWhenUsed/>
    <w:rsid w:val="00E02B64"/>
    <w:rPr>
      <w:sz w:val="16"/>
      <w:szCs w:val="16"/>
    </w:rPr>
  </w:style>
  <w:style w:type="paragraph" w:styleId="CommentText">
    <w:name w:val="annotation text"/>
    <w:basedOn w:val="Normal"/>
    <w:link w:val="CommentTextChar"/>
    <w:uiPriority w:val="99"/>
    <w:semiHidden/>
    <w:unhideWhenUsed/>
    <w:rsid w:val="00E02B64"/>
    <w:pPr>
      <w:spacing w:line="240" w:lineRule="auto"/>
    </w:pPr>
  </w:style>
  <w:style w:type="character" w:customStyle="1" w:styleId="CommentTextChar">
    <w:name w:val="Comment Text Char"/>
    <w:basedOn w:val="DefaultParagraphFont"/>
    <w:link w:val="CommentText"/>
    <w:uiPriority w:val="99"/>
    <w:semiHidden/>
    <w:rsid w:val="00E02B64"/>
    <w:rPr>
      <w:sz w:val="20"/>
      <w:szCs w:val="20"/>
    </w:rPr>
  </w:style>
  <w:style w:type="paragraph" w:styleId="CommentSubject">
    <w:name w:val="annotation subject"/>
    <w:basedOn w:val="CommentText"/>
    <w:next w:val="CommentText"/>
    <w:link w:val="CommentSubjectChar"/>
    <w:uiPriority w:val="99"/>
    <w:semiHidden/>
    <w:unhideWhenUsed/>
    <w:rsid w:val="00E02B64"/>
    <w:rPr>
      <w:b/>
      <w:bCs/>
    </w:rPr>
  </w:style>
  <w:style w:type="character" w:customStyle="1" w:styleId="CommentSubjectChar">
    <w:name w:val="Comment Subject Char"/>
    <w:basedOn w:val="CommentTextChar"/>
    <w:link w:val="CommentSubject"/>
    <w:uiPriority w:val="99"/>
    <w:semiHidden/>
    <w:rsid w:val="00E02B64"/>
    <w:rPr>
      <w:b/>
      <w:bCs/>
      <w:sz w:val="20"/>
      <w:szCs w:val="20"/>
    </w:rPr>
  </w:style>
  <w:style w:type="paragraph" w:styleId="BalloonText">
    <w:name w:val="Balloon Text"/>
    <w:basedOn w:val="Normal"/>
    <w:link w:val="BalloonTextChar"/>
    <w:uiPriority w:val="99"/>
    <w:semiHidden/>
    <w:unhideWhenUsed/>
    <w:rsid w:val="00E02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64"/>
    <w:rPr>
      <w:rFonts w:ascii="Segoe UI" w:hAnsi="Segoe UI" w:cs="Segoe UI"/>
      <w:sz w:val="18"/>
      <w:szCs w:val="18"/>
    </w:rPr>
  </w:style>
  <w:style w:type="character" w:customStyle="1" w:styleId="Heading3Char">
    <w:name w:val="Heading 3 Char"/>
    <w:basedOn w:val="DefaultParagraphFont"/>
    <w:link w:val="Heading3"/>
    <w:uiPriority w:val="9"/>
    <w:semiHidden/>
    <w:rsid w:val="002C0DCB"/>
    <w:rPr>
      <w:caps/>
      <w:color w:val="354D18" w:themeColor="accent1" w:themeShade="7F"/>
      <w:spacing w:val="15"/>
    </w:rPr>
  </w:style>
  <w:style w:type="character" w:customStyle="1" w:styleId="Heading4Char">
    <w:name w:val="Heading 4 Char"/>
    <w:basedOn w:val="DefaultParagraphFont"/>
    <w:link w:val="Heading4"/>
    <w:uiPriority w:val="9"/>
    <w:semiHidden/>
    <w:rsid w:val="002C0DCB"/>
    <w:rPr>
      <w:caps/>
      <w:color w:val="507524" w:themeColor="accent1" w:themeShade="BF"/>
      <w:spacing w:val="10"/>
    </w:rPr>
  </w:style>
  <w:style w:type="character" w:customStyle="1" w:styleId="Heading5Char">
    <w:name w:val="Heading 5 Char"/>
    <w:basedOn w:val="DefaultParagraphFont"/>
    <w:link w:val="Heading5"/>
    <w:uiPriority w:val="9"/>
    <w:semiHidden/>
    <w:rsid w:val="002C0DCB"/>
    <w:rPr>
      <w:caps/>
      <w:color w:val="507524" w:themeColor="accent1" w:themeShade="BF"/>
      <w:spacing w:val="10"/>
    </w:rPr>
  </w:style>
  <w:style w:type="character" w:customStyle="1" w:styleId="Heading6Char">
    <w:name w:val="Heading 6 Char"/>
    <w:basedOn w:val="DefaultParagraphFont"/>
    <w:link w:val="Heading6"/>
    <w:uiPriority w:val="9"/>
    <w:semiHidden/>
    <w:rsid w:val="002C0DCB"/>
    <w:rPr>
      <w:caps/>
      <w:color w:val="507524" w:themeColor="accent1" w:themeShade="BF"/>
      <w:spacing w:val="10"/>
    </w:rPr>
  </w:style>
  <w:style w:type="character" w:customStyle="1" w:styleId="Heading7Char">
    <w:name w:val="Heading 7 Char"/>
    <w:basedOn w:val="DefaultParagraphFont"/>
    <w:link w:val="Heading7"/>
    <w:uiPriority w:val="9"/>
    <w:semiHidden/>
    <w:rsid w:val="002C0DCB"/>
    <w:rPr>
      <w:caps/>
      <w:color w:val="507524" w:themeColor="accent1" w:themeShade="BF"/>
      <w:spacing w:val="10"/>
    </w:rPr>
  </w:style>
  <w:style w:type="character" w:customStyle="1" w:styleId="Heading8Char">
    <w:name w:val="Heading 8 Char"/>
    <w:basedOn w:val="DefaultParagraphFont"/>
    <w:link w:val="Heading8"/>
    <w:uiPriority w:val="9"/>
    <w:semiHidden/>
    <w:rsid w:val="002C0DCB"/>
    <w:rPr>
      <w:caps/>
      <w:spacing w:val="10"/>
      <w:sz w:val="18"/>
      <w:szCs w:val="18"/>
    </w:rPr>
  </w:style>
  <w:style w:type="character" w:customStyle="1" w:styleId="Heading9Char">
    <w:name w:val="Heading 9 Char"/>
    <w:basedOn w:val="DefaultParagraphFont"/>
    <w:link w:val="Heading9"/>
    <w:uiPriority w:val="9"/>
    <w:semiHidden/>
    <w:rsid w:val="002C0DCB"/>
    <w:rPr>
      <w:i/>
      <w:iCs/>
      <w:caps/>
      <w:spacing w:val="10"/>
      <w:sz w:val="18"/>
      <w:szCs w:val="18"/>
    </w:rPr>
  </w:style>
  <w:style w:type="paragraph" w:styleId="Caption">
    <w:name w:val="caption"/>
    <w:basedOn w:val="Normal"/>
    <w:next w:val="Normal"/>
    <w:uiPriority w:val="35"/>
    <w:semiHidden/>
    <w:unhideWhenUsed/>
    <w:qFormat/>
    <w:rsid w:val="002C0DCB"/>
    <w:rPr>
      <w:b/>
      <w:bCs/>
      <w:color w:val="507524" w:themeColor="accent1" w:themeShade="BF"/>
      <w:sz w:val="16"/>
      <w:szCs w:val="16"/>
    </w:rPr>
  </w:style>
  <w:style w:type="paragraph" w:styleId="Subtitle">
    <w:name w:val="Subtitle"/>
    <w:basedOn w:val="Normal"/>
    <w:next w:val="Normal"/>
    <w:link w:val="SubtitleChar"/>
    <w:uiPriority w:val="11"/>
    <w:qFormat/>
    <w:rsid w:val="002C0DC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C0DCB"/>
    <w:rPr>
      <w:caps/>
      <w:color w:val="595959" w:themeColor="text1" w:themeTint="A6"/>
      <w:spacing w:val="10"/>
      <w:sz w:val="21"/>
      <w:szCs w:val="21"/>
    </w:rPr>
  </w:style>
  <w:style w:type="character" w:styleId="Strong">
    <w:name w:val="Strong"/>
    <w:uiPriority w:val="22"/>
    <w:qFormat/>
    <w:rsid w:val="002C0DCB"/>
    <w:rPr>
      <w:b/>
      <w:bCs/>
    </w:rPr>
  </w:style>
  <w:style w:type="character" w:styleId="Emphasis">
    <w:name w:val="Emphasis"/>
    <w:uiPriority w:val="20"/>
    <w:qFormat/>
    <w:rsid w:val="002C0DCB"/>
    <w:rPr>
      <w:caps/>
      <w:color w:val="354D18" w:themeColor="accent1" w:themeShade="7F"/>
      <w:spacing w:val="5"/>
    </w:rPr>
  </w:style>
  <w:style w:type="paragraph" w:styleId="NoSpacing">
    <w:name w:val="No Spacing"/>
    <w:uiPriority w:val="1"/>
    <w:qFormat/>
    <w:rsid w:val="002C0DCB"/>
    <w:pPr>
      <w:spacing w:after="0" w:line="240" w:lineRule="auto"/>
    </w:pPr>
  </w:style>
  <w:style w:type="paragraph" w:styleId="Quote">
    <w:name w:val="Quote"/>
    <w:basedOn w:val="Normal"/>
    <w:next w:val="Normal"/>
    <w:link w:val="QuoteChar"/>
    <w:uiPriority w:val="29"/>
    <w:qFormat/>
    <w:rsid w:val="002C0DCB"/>
    <w:rPr>
      <w:i/>
      <w:iCs/>
      <w:sz w:val="24"/>
      <w:szCs w:val="24"/>
    </w:rPr>
  </w:style>
  <w:style w:type="character" w:customStyle="1" w:styleId="QuoteChar">
    <w:name w:val="Quote Char"/>
    <w:basedOn w:val="DefaultParagraphFont"/>
    <w:link w:val="Quote"/>
    <w:uiPriority w:val="29"/>
    <w:rsid w:val="002C0DCB"/>
    <w:rPr>
      <w:i/>
      <w:iCs/>
      <w:sz w:val="24"/>
      <w:szCs w:val="24"/>
    </w:rPr>
  </w:style>
  <w:style w:type="paragraph" w:styleId="IntenseQuote">
    <w:name w:val="Intense Quote"/>
    <w:basedOn w:val="Normal"/>
    <w:next w:val="Normal"/>
    <w:link w:val="IntenseQuoteChar"/>
    <w:uiPriority w:val="30"/>
    <w:qFormat/>
    <w:rsid w:val="002C0DCB"/>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2C0DCB"/>
    <w:rPr>
      <w:color w:val="6C9D31" w:themeColor="accent1"/>
      <w:sz w:val="24"/>
      <w:szCs w:val="24"/>
    </w:rPr>
  </w:style>
  <w:style w:type="character" w:styleId="SubtleEmphasis">
    <w:name w:val="Subtle Emphasis"/>
    <w:uiPriority w:val="19"/>
    <w:qFormat/>
    <w:rsid w:val="002C0DCB"/>
    <w:rPr>
      <w:i/>
      <w:iCs/>
      <w:color w:val="354D18" w:themeColor="accent1" w:themeShade="7F"/>
    </w:rPr>
  </w:style>
  <w:style w:type="character" w:styleId="IntenseEmphasis">
    <w:name w:val="Intense Emphasis"/>
    <w:uiPriority w:val="21"/>
    <w:qFormat/>
    <w:rsid w:val="002C0DCB"/>
    <w:rPr>
      <w:b/>
      <w:bCs/>
      <w:caps/>
      <w:color w:val="354D18" w:themeColor="accent1" w:themeShade="7F"/>
      <w:spacing w:val="10"/>
    </w:rPr>
  </w:style>
  <w:style w:type="character" w:styleId="SubtleReference">
    <w:name w:val="Subtle Reference"/>
    <w:uiPriority w:val="31"/>
    <w:qFormat/>
    <w:rsid w:val="002C0DCB"/>
    <w:rPr>
      <w:b/>
      <w:bCs/>
      <w:color w:val="6C9D31" w:themeColor="accent1"/>
    </w:rPr>
  </w:style>
  <w:style w:type="character" w:styleId="IntenseReference">
    <w:name w:val="Intense Reference"/>
    <w:uiPriority w:val="32"/>
    <w:qFormat/>
    <w:rsid w:val="002C0DCB"/>
    <w:rPr>
      <w:b/>
      <w:bCs/>
      <w:i/>
      <w:iCs/>
      <w:caps/>
      <w:color w:val="6C9D31" w:themeColor="accent1"/>
    </w:rPr>
  </w:style>
  <w:style w:type="character" w:styleId="BookTitle">
    <w:name w:val="Book Title"/>
    <w:uiPriority w:val="33"/>
    <w:qFormat/>
    <w:rsid w:val="002C0DCB"/>
    <w:rPr>
      <w:b/>
      <w:bCs/>
      <w:i/>
      <w:iCs/>
      <w:spacing w:val="0"/>
    </w:rPr>
  </w:style>
  <w:style w:type="paragraph" w:styleId="TOCHeading">
    <w:name w:val="TOC Heading"/>
    <w:basedOn w:val="Heading1"/>
    <w:next w:val="Normal"/>
    <w:uiPriority w:val="39"/>
    <w:semiHidden/>
    <w:unhideWhenUsed/>
    <w:qFormat/>
    <w:rsid w:val="002C0DCB"/>
    <w:pPr>
      <w:outlineLvl w:val="9"/>
    </w:pPr>
  </w:style>
  <w:style w:type="table" w:styleId="TableGrid">
    <w:name w:val="Table Grid"/>
    <w:basedOn w:val="TableNormal"/>
    <w:uiPriority w:val="39"/>
    <w:rsid w:val="0090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00D61"/>
    <w:pPr>
      <w:spacing w:after="100"/>
    </w:pPr>
  </w:style>
  <w:style w:type="paragraph" w:styleId="TOC2">
    <w:name w:val="toc 2"/>
    <w:basedOn w:val="Normal"/>
    <w:next w:val="Normal"/>
    <w:autoRedefine/>
    <w:uiPriority w:val="39"/>
    <w:unhideWhenUsed/>
    <w:rsid w:val="00900D61"/>
    <w:pPr>
      <w:spacing w:after="100"/>
      <w:ind w:left="200"/>
    </w:pPr>
  </w:style>
  <w:style w:type="paragraph" w:styleId="Footer">
    <w:name w:val="footer"/>
    <w:basedOn w:val="Normal"/>
    <w:link w:val="FooterChar"/>
    <w:uiPriority w:val="99"/>
    <w:unhideWhenUsed/>
    <w:rsid w:val="00900D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0D61"/>
  </w:style>
  <w:style w:type="paragraph" w:styleId="Header">
    <w:name w:val="header"/>
    <w:basedOn w:val="Normal"/>
    <w:link w:val="HeaderChar"/>
    <w:uiPriority w:val="99"/>
    <w:unhideWhenUsed/>
    <w:rsid w:val="002D52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52D8"/>
  </w:style>
  <w:style w:type="paragraph" w:styleId="Revision">
    <w:name w:val="Revision"/>
    <w:hidden/>
    <w:uiPriority w:val="99"/>
    <w:semiHidden/>
    <w:rsid w:val="000315E1"/>
    <w:pPr>
      <w:spacing w:before="0" w:after="0" w:line="240" w:lineRule="auto"/>
    </w:pPr>
  </w:style>
  <w:style w:type="character" w:customStyle="1" w:styleId="Mentionnonrsolue1">
    <w:name w:val="Mention non résolue1"/>
    <w:basedOn w:val="DefaultParagraphFont"/>
    <w:uiPriority w:val="99"/>
    <w:semiHidden/>
    <w:unhideWhenUsed/>
    <w:rsid w:val="000315E1"/>
    <w:rPr>
      <w:color w:val="605E5C"/>
      <w:shd w:val="clear" w:color="auto" w:fill="E1DFDD"/>
    </w:rPr>
  </w:style>
  <w:style w:type="character" w:styleId="FollowedHyperlink">
    <w:name w:val="FollowedHyperlink"/>
    <w:basedOn w:val="DefaultParagraphFont"/>
    <w:uiPriority w:val="99"/>
    <w:semiHidden/>
    <w:unhideWhenUsed/>
    <w:rsid w:val="00897FB2"/>
    <w:rPr>
      <w:color w:val="F99D3E" w:themeColor="followedHyperlink"/>
      <w:u w:val="single"/>
    </w:rPr>
  </w:style>
  <w:style w:type="character" w:customStyle="1" w:styleId="UnresolvedMention">
    <w:name w:val="Unresolved Mention"/>
    <w:basedOn w:val="DefaultParagraphFont"/>
    <w:uiPriority w:val="99"/>
    <w:semiHidden/>
    <w:unhideWhenUsed/>
    <w:rsid w:val="003D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nat.org/" TargetMode="External"/><Relationship Id="rId18" Type="http://schemas.openxmlformats.org/officeDocument/2006/relationships/hyperlink" Target="https://www.rmnat.org/" TargetMode="External"/><Relationship Id="rId26" Type="http://schemas.openxmlformats.org/officeDocument/2006/relationships/hyperlink" Target="https://www.canada.ca/fr/agence-revenu/services/organismes-bienfaisance-dons/organismes-bienfaisance/exploitation-organisme-bienfaisance-enregistre/etats-financiers.html" TargetMode="External"/><Relationship Id="rId3" Type="http://schemas.openxmlformats.org/officeDocument/2006/relationships/customXml" Target="../customXml/item3.xml"/><Relationship Id="rId21" Type="http://schemas.openxmlformats.org/officeDocument/2006/relationships/hyperlink" Target="mailto:info@acoc.ca" TargetMode="External"/><Relationship Id="rId7" Type="http://schemas.openxmlformats.org/officeDocument/2006/relationships/settings" Target="settings.xml"/><Relationship Id="rId12" Type="http://schemas.openxmlformats.org/officeDocument/2006/relationships/hyperlink" Target="https://aclt-acoc.ca/" TargetMode="External"/><Relationship Id="rId17" Type="http://schemas.openxmlformats.org/officeDocument/2006/relationships/hyperlink" Target="https://olta.ca/" TargetMode="External"/><Relationship Id="rId25" Type="http://schemas.openxmlformats.org/officeDocument/2006/relationships/hyperlink" Target="https://www.canada.ca/fr/agence-revenu/services/organismes-bienfaisance-dons/organismes-bienfaisance/ressources-externes-organismes-bienfaisance.html" TargetMode="External"/><Relationship Id="rId2" Type="http://schemas.openxmlformats.org/officeDocument/2006/relationships/customXml" Target="../customXml/item2.xml"/><Relationship Id="rId16" Type="http://schemas.openxmlformats.org/officeDocument/2006/relationships/hyperlink" Target="https://aclt-acoc.ca/fr/" TargetMode="External"/><Relationship Id="rId20" Type="http://schemas.openxmlformats.org/officeDocument/2006/relationships/hyperlink" Target="https://landtrustalliance.org/resources" TargetMode="External"/><Relationship Id="rId29" Type="http://schemas.openxmlformats.org/officeDocument/2006/relationships/hyperlink" Target="https://www.canada.ca/fr/agence-revenu/services/organismes-bienfaisance-dons/organismes-bienfaisance/politiques-lignes-directrices/enonce-politique-019-est-activite-commerciale-complementair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ltabc.ca" TargetMode="External"/><Relationship Id="rId5" Type="http://schemas.openxmlformats.org/officeDocument/2006/relationships/numbering" Target="numbering.xml"/><Relationship Id="rId15" Type="http://schemas.openxmlformats.org/officeDocument/2006/relationships/hyperlink" Target="https://ltabc.ca/" TargetMode="External"/><Relationship Id="rId23" Type="http://schemas.openxmlformats.org/officeDocument/2006/relationships/hyperlink" Target="mailto:info@rmnat.org" TargetMode="External"/><Relationship Id="rId28" Type="http://schemas.openxmlformats.org/officeDocument/2006/relationships/hyperlink" Target="https://www.canada.ca/fr/agence-revenu/services/organismes-bienfaisance-dons/organismes-bienfaisance/exploitation-organisme-bienfaisance-enregistre/t3010-declaration-organismes-bienfaisance-apercu.html" TargetMode="External"/><Relationship Id="rId10" Type="http://schemas.openxmlformats.org/officeDocument/2006/relationships/endnotes" Target="endnotes.xml"/><Relationship Id="rId19" Type="http://schemas.openxmlformats.org/officeDocument/2006/relationships/hyperlink" Target="https://lta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ta.ca/" TargetMode="External"/><Relationship Id="rId22" Type="http://schemas.openxmlformats.org/officeDocument/2006/relationships/hyperlink" Target="mailto:admin@olta.ca" TargetMode="External"/><Relationship Id="rId27" Type="http://schemas.openxmlformats.org/officeDocument/2006/relationships/hyperlink" Target="https://www.canada.ca/fr/agence-revenu/services/organismes-bienfaisance-dons/organismes-bienfaisance/politiques-lignes-directrices/activites-financement-organismes-bienfaisance-enregistre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0E81-53D8-412F-AAE9-423234FE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08EEF-E944-46A2-8F1A-7F6014626F23}">
  <ds:schemaRefs>
    <ds:schemaRef ds:uri="http://schemas.microsoft.com/sharepoint/v3/contenttype/forms"/>
  </ds:schemaRefs>
</ds:datastoreItem>
</file>

<file path=customXml/itemProps3.xml><?xml version="1.0" encoding="utf-8"?>
<ds:datastoreItem xmlns:ds="http://schemas.openxmlformats.org/officeDocument/2006/customXml" ds:itemID="{7C53C860-662C-47DF-A1C6-956237EE0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EDBC3-95E7-496D-AAA6-8853B178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2164</Words>
  <Characters>12339</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c:description/>
  <cp:lastModifiedBy>Student</cp:lastModifiedBy>
  <cp:revision>4</cp:revision>
  <dcterms:created xsi:type="dcterms:W3CDTF">2024-04-17T18:46:00Z</dcterms:created>
  <dcterms:modified xsi:type="dcterms:W3CDTF">2024-04-23T17:51:00Z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